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A69B" w14:textId="77777777" w:rsidR="00BF6A78" w:rsidRPr="001B11AB" w:rsidRDefault="00BF6A78" w:rsidP="00897F23">
      <w:pPr>
        <w:pStyle w:val="Heading1"/>
        <w:spacing w:before="0" w:line="240" w:lineRule="auto"/>
        <w:rPr>
          <w:rFonts w:ascii="Times New Roman" w:hAnsi="Times New Roman" w:cs="Times New Roman"/>
          <w:color w:val="auto"/>
          <w:sz w:val="24"/>
          <w:szCs w:val="24"/>
          <w:lang w:val="ru-RU"/>
        </w:rPr>
      </w:pPr>
      <w:bookmarkStart w:id="0" w:name="_GoBack"/>
      <w:bookmarkEnd w:id="0"/>
      <w:r w:rsidRPr="001B11AB">
        <w:rPr>
          <w:rFonts w:ascii="Times New Roman" w:hAnsi="Times New Roman" w:cs="Times New Roman"/>
          <w:color w:val="auto"/>
          <w:sz w:val="24"/>
          <w:szCs w:val="24"/>
          <w:lang w:val="ru-RU"/>
        </w:rPr>
        <w:t>Прилог 1.</w:t>
      </w:r>
    </w:p>
    <w:p w14:paraId="4E123A5C" w14:textId="77777777" w:rsidR="00BF6A78" w:rsidRPr="001B11AB" w:rsidRDefault="00BF6A78" w:rsidP="00897F23">
      <w:pPr>
        <w:pStyle w:val="Heading1"/>
        <w:spacing w:before="0" w:line="240" w:lineRule="auto"/>
        <w:jc w:val="center"/>
        <w:rPr>
          <w:rFonts w:ascii="Times New Roman" w:hAnsi="Times New Roman" w:cs="Times New Roman"/>
          <w:color w:val="auto"/>
          <w:sz w:val="24"/>
          <w:szCs w:val="24"/>
          <w:lang w:val="ru-RU"/>
        </w:rPr>
      </w:pPr>
    </w:p>
    <w:p w14:paraId="2C55C226" w14:textId="77777777" w:rsidR="00BF6A78" w:rsidRPr="001B11AB" w:rsidRDefault="00BF6A78" w:rsidP="00897F23">
      <w:pPr>
        <w:pStyle w:val="Heading1"/>
        <w:spacing w:before="0" w:line="240" w:lineRule="auto"/>
        <w:jc w:val="center"/>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t xml:space="preserve">ИЗВЈЕШТАЈ О ПОСТУПКУ ИНТЕРНЕ ПРОЦЈЕНЕ </w:t>
      </w:r>
    </w:p>
    <w:p w14:paraId="710606C4" w14:textId="77777777" w:rsidR="00E92210" w:rsidRPr="001B11AB" w:rsidRDefault="00BF6A78" w:rsidP="00897F23">
      <w:pPr>
        <w:pStyle w:val="Heading1"/>
        <w:spacing w:before="0" w:line="240" w:lineRule="auto"/>
        <w:jc w:val="center"/>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t>АДЕКВАТНОСТИ КАПИТАЛА (</w:t>
      </w:r>
      <w:r w:rsidRPr="001B11AB">
        <w:rPr>
          <w:rFonts w:ascii="Times New Roman" w:hAnsi="Times New Roman" w:cs="Times New Roman"/>
          <w:color w:val="auto"/>
          <w:sz w:val="22"/>
          <w:szCs w:val="22"/>
        </w:rPr>
        <w:t>ICAAP</w:t>
      </w:r>
      <w:r w:rsidRPr="001B11AB">
        <w:rPr>
          <w:rFonts w:ascii="Times New Roman" w:hAnsi="Times New Roman" w:cs="Times New Roman"/>
          <w:color w:val="auto"/>
          <w:sz w:val="22"/>
          <w:szCs w:val="22"/>
          <w:lang w:val="ru-RU"/>
        </w:rPr>
        <w:t>)</w:t>
      </w:r>
    </w:p>
    <w:p w14:paraId="0F3E7AAD" w14:textId="77777777" w:rsidR="00E92210" w:rsidRPr="001B11AB" w:rsidRDefault="00E92210" w:rsidP="00897F23">
      <w:pPr>
        <w:spacing w:after="0" w:line="240" w:lineRule="auto"/>
        <w:rPr>
          <w:lang w:val="ru-RU"/>
        </w:rPr>
      </w:pPr>
    </w:p>
    <w:p w14:paraId="6AF500DB" w14:textId="77777777" w:rsidR="00E92210" w:rsidRPr="001B11AB" w:rsidRDefault="008A08D3" w:rsidP="00897F23">
      <w:pPr>
        <w:spacing w:after="0" w:line="240" w:lineRule="auto"/>
        <w:jc w:val="center"/>
        <w:rPr>
          <w:rFonts w:ascii="Times New Roman" w:hAnsi="Times New Roman" w:cs="Times New Roman"/>
          <w:sz w:val="20"/>
          <w:szCs w:val="20"/>
          <w:lang w:val="sr-Cyrl-BA"/>
        </w:rPr>
      </w:pPr>
      <w:r w:rsidRPr="001B11AB">
        <w:rPr>
          <w:rFonts w:ascii="Times New Roman" w:hAnsi="Times New Roman" w:cs="Times New Roman"/>
          <w:sz w:val="20"/>
          <w:szCs w:val="20"/>
          <w:lang w:val="ru-RU"/>
        </w:rPr>
        <w:t xml:space="preserve">(Агенција ће, по потреби, ажурирати образац Извјештаја о </w:t>
      </w:r>
      <w:r w:rsidRPr="001B11AB">
        <w:rPr>
          <w:rFonts w:ascii="Times New Roman" w:hAnsi="Times New Roman" w:cs="Times New Roman"/>
          <w:sz w:val="20"/>
          <w:szCs w:val="20"/>
          <w:lang w:val="sr-Latn-BA"/>
        </w:rPr>
        <w:t>ICAAP</w:t>
      </w:r>
      <w:r w:rsidRPr="001B11AB">
        <w:rPr>
          <w:rFonts w:ascii="Times New Roman" w:hAnsi="Times New Roman" w:cs="Times New Roman"/>
          <w:sz w:val="20"/>
          <w:szCs w:val="20"/>
          <w:lang w:val="sr-Cyrl-BA"/>
        </w:rPr>
        <w:t xml:space="preserve">-у </w:t>
      </w:r>
    </w:p>
    <w:p w14:paraId="542ED2BC" w14:textId="77777777" w:rsidR="008A08D3" w:rsidRPr="001B11AB" w:rsidRDefault="008A08D3" w:rsidP="00897F23">
      <w:pPr>
        <w:spacing w:after="0" w:line="240" w:lineRule="auto"/>
        <w:jc w:val="center"/>
        <w:rPr>
          <w:rFonts w:ascii="Times New Roman" w:hAnsi="Times New Roman" w:cs="Times New Roman"/>
          <w:sz w:val="20"/>
          <w:szCs w:val="20"/>
          <w:lang w:val="sr-Cyrl-BA"/>
        </w:rPr>
      </w:pPr>
      <w:r w:rsidRPr="001B11AB">
        <w:rPr>
          <w:rFonts w:ascii="Times New Roman" w:hAnsi="Times New Roman" w:cs="Times New Roman"/>
          <w:sz w:val="20"/>
          <w:szCs w:val="20"/>
          <w:lang w:val="sr-Cyrl-BA"/>
        </w:rPr>
        <w:t xml:space="preserve">и додавати додатна појашњења </w:t>
      </w:r>
      <w:r w:rsidR="00E92210" w:rsidRPr="001B11AB">
        <w:rPr>
          <w:rFonts w:ascii="Times New Roman" w:hAnsi="Times New Roman" w:cs="Times New Roman"/>
          <w:sz w:val="20"/>
          <w:szCs w:val="20"/>
          <w:lang w:val="sr-Cyrl-BA"/>
        </w:rPr>
        <w:t xml:space="preserve">и инструкције </w:t>
      </w:r>
      <w:r w:rsidRPr="001B11AB">
        <w:rPr>
          <w:rFonts w:ascii="Times New Roman" w:hAnsi="Times New Roman" w:cs="Times New Roman"/>
          <w:sz w:val="20"/>
          <w:szCs w:val="20"/>
          <w:lang w:val="sr-Cyrl-BA"/>
        </w:rPr>
        <w:t xml:space="preserve">у вези са попуњавањем </w:t>
      </w:r>
      <w:r w:rsidR="00E92210" w:rsidRPr="001B11AB">
        <w:rPr>
          <w:rFonts w:ascii="Times New Roman" w:hAnsi="Times New Roman" w:cs="Times New Roman"/>
          <w:sz w:val="20"/>
          <w:szCs w:val="20"/>
          <w:lang w:val="sr-Cyrl-BA"/>
        </w:rPr>
        <w:t>овог извјештаја)</w:t>
      </w:r>
    </w:p>
    <w:p w14:paraId="235755D5" w14:textId="79D8EB49" w:rsidR="00BF6A78" w:rsidRPr="001B11AB" w:rsidRDefault="00BF6A78" w:rsidP="006B46AF">
      <w:pPr>
        <w:spacing w:after="0" w:line="240" w:lineRule="auto"/>
        <w:jc w:val="both"/>
        <w:rPr>
          <w:rFonts w:ascii="Times New Roman" w:hAnsi="Times New Roman" w:cs="Times New Roman"/>
          <w:bCs/>
          <w:lang w:val="hr-HR"/>
        </w:rPr>
      </w:pPr>
    </w:p>
    <w:p w14:paraId="11C75B57" w14:textId="77777777" w:rsidR="006B46AF" w:rsidRPr="001B11AB" w:rsidRDefault="006B46AF" w:rsidP="006B46AF">
      <w:pPr>
        <w:spacing w:after="0" w:line="240" w:lineRule="auto"/>
        <w:jc w:val="both"/>
        <w:rPr>
          <w:rFonts w:ascii="Times New Roman" w:hAnsi="Times New Roman" w:cs="Times New Roman"/>
          <w:bCs/>
          <w:lang w:val="hr-HR"/>
        </w:rPr>
      </w:pPr>
    </w:p>
    <w:p w14:paraId="6884968E" w14:textId="77777777" w:rsidR="00BF6A78" w:rsidRPr="001B11AB" w:rsidRDefault="00BF6A78" w:rsidP="00897F23">
      <w:pPr>
        <w:pStyle w:val="Heading2"/>
        <w:numPr>
          <w:ilvl w:val="0"/>
          <w:numId w:val="25"/>
        </w:numPr>
        <w:spacing w:before="0" w:line="240" w:lineRule="auto"/>
        <w:rPr>
          <w:rFonts w:ascii="Times New Roman" w:hAnsi="Times New Roman" w:cs="Times New Roman"/>
          <w:color w:val="auto"/>
          <w:sz w:val="22"/>
          <w:szCs w:val="22"/>
          <w:lang w:val="hr-HR"/>
        </w:rPr>
      </w:pPr>
      <w:r w:rsidRPr="001B11AB">
        <w:rPr>
          <w:rFonts w:ascii="Times New Roman" w:hAnsi="Times New Roman" w:cs="Times New Roman"/>
          <w:color w:val="auto"/>
          <w:sz w:val="22"/>
          <w:szCs w:val="22"/>
        </w:rPr>
        <w:t>ОПШТЕ ИНФОРМАЦИЈЕ</w:t>
      </w:r>
    </w:p>
    <w:p w14:paraId="4190BF0C" w14:textId="77777777" w:rsidR="00BF6A78" w:rsidRPr="001B11AB" w:rsidRDefault="00BF6A78" w:rsidP="00897F23">
      <w:pPr>
        <w:pStyle w:val="NoSpacing"/>
        <w:ind w:left="720"/>
        <w:rPr>
          <w:rFonts w:ascii="Times New Roman" w:hAnsi="Times New Roman" w:cs="Times New Roman"/>
          <w:b/>
          <w:lang w:val="hr-HR"/>
        </w:rPr>
      </w:pPr>
    </w:p>
    <w:p w14:paraId="68FDF3B1" w14:textId="77777777" w:rsidR="00BF6A78" w:rsidRPr="001B11AB" w:rsidRDefault="00BF6A78" w:rsidP="00897F23">
      <w:pPr>
        <w:pStyle w:val="ListParagraph"/>
        <w:numPr>
          <w:ilvl w:val="1"/>
          <w:numId w:val="25"/>
        </w:numPr>
        <w:spacing w:line="240" w:lineRule="auto"/>
        <w:ind w:left="993" w:hanging="426"/>
        <w:contextualSpacing w:val="0"/>
        <w:rPr>
          <w:rFonts w:ascii="Times New Roman" w:eastAsiaTheme="majorEastAsia" w:hAnsi="Times New Roman" w:cs="Times New Roman"/>
          <w:b/>
          <w:bCs/>
          <w:sz w:val="20"/>
          <w:szCs w:val="20"/>
          <w:lang w:val="ru-RU"/>
        </w:rPr>
      </w:pPr>
      <w:r w:rsidRPr="001B11AB">
        <w:rPr>
          <w:rStyle w:val="Heading3Char"/>
          <w:rFonts w:ascii="Times New Roman" w:hAnsi="Times New Roman" w:cs="Times New Roman"/>
          <w:color w:val="auto"/>
          <w:sz w:val="20"/>
          <w:szCs w:val="20"/>
        </w:rPr>
        <w:t>Основне информације и кратак опис</w:t>
      </w:r>
    </w:p>
    <w:tbl>
      <w:tblPr>
        <w:tblStyle w:val="TableGrid"/>
        <w:tblW w:w="9338" w:type="dxa"/>
        <w:tblLook w:val="04A0" w:firstRow="1" w:lastRow="0" w:firstColumn="1" w:lastColumn="0" w:noHBand="0" w:noVBand="1"/>
      </w:tblPr>
      <w:tblGrid>
        <w:gridCol w:w="2815"/>
        <w:gridCol w:w="6523"/>
      </w:tblGrid>
      <w:tr w:rsidR="005C6636" w:rsidRPr="001B11AB" w14:paraId="20CE578E" w14:textId="77777777" w:rsidTr="006F4726">
        <w:tc>
          <w:tcPr>
            <w:tcW w:w="2815" w:type="dxa"/>
          </w:tcPr>
          <w:p w14:paraId="717AC050" w14:textId="77777777" w:rsidR="00BF6A78" w:rsidRPr="001B11AB" w:rsidRDefault="00BF6A78" w:rsidP="00897F23">
            <w:pPr>
              <w:spacing w:after="60"/>
              <w:rPr>
                <w:rFonts w:ascii="Times New Roman" w:hAnsi="Times New Roman" w:cs="Times New Roman"/>
                <w:b/>
                <w:sz w:val="20"/>
                <w:szCs w:val="20"/>
              </w:rPr>
            </w:pPr>
            <w:r w:rsidRPr="001B11AB">
              <w:rPr>
                <w:rFonts w:ascii="Times New Roman" w:hAnsi="Times New Roman" w:cs="Times New Roman"/>
                <w:b/>
                <w:sz w:val="20"/>
                <w:szCs w:val="20"/>
              </w:rPr>
              <w:t>Пуни назив банке</w:t>
            </w:r>
          </w:p>
        </w:tc>
        <w:tc>
          <w:tcPr>
            <w:tcW w:w="6523" w:type="dxa"/>
          </w:tcPr>
          <w:p w14:paraId="0D30B64D" w14:textId="77777777" w:rsidR="00BF6A78" w:rsidRPr="001B11AB" w:rsidRDefault="00BF6A78" w:rsidP="00897F23">
            <w:pPr>
              <w:spacing w:after="60"/>
              <w:rPr>
                <w:rFonts w:ascii="Times New Roman" w:hAnsi="Times New Roman" w:cs="Times New Roman"/>
                <w:sz w:val="20"/>
                <w:szCs w:val="20"/>
                <w:lang w:val="hr-HR"/>
              </w:rPr>
            </w:pPr>
          </w:p>
        </w:tc>
      </w:tr>
    </w:tbl>
    <w:p w14:paraId="2701A32D"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41" w:type="dxa"/>
        <w:tblLook w:val="04A0" w:firstRow="1" w:lastRow="0" w:firstColumn="1" w:lastColumn="0" w:noHBand="0" w:noVBand="1"/>
      </w:tblPr>
      <w:tblGrid>
        <w:gridCol w:w="2818"/>
        <w:gridCol w:w="6523"/>
      </w:tblGrid>
      <w:tr w:rsidR="005C6636" w:rsidRPr="001B11AB" w14:paraId="06CC7D67" w14:textId="77777777" w:rsidTr="006F4726">
        <w:tc>
          <w:tcPr>
            <w:tcW w:w="2818" w:type="dxa"/>
          </w:tcPr>
          <w:p w14:paraId="04DDBEDB" w14:textId="77777777" w:rsidR="00BF6A78" w:rsidRPr="001B11AB" w:rsidRDefault="00BF6A78" w:rsidP="00897F23">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ru-RU"/>
              </w:rPr>
              <w:t>Период на који се извјештај односи</w:t>
            </w:r>
          </w:p>
        </w:tc>
        <w:tc>
          <w:tcPr>
            <w:tcW w:w="6523" w:type="dxa"/>
          </w:tcPr>
          <w:p w14:paraId="49EF924D" w14:textId="77777777" w:rsidR="00BF6A78" w:rsidRPr="001B11AB" w:rsidRDefault="00BF6A78" w:rsidP="00897F23">
            <w:pPr>
              <w:spacing w:after="60"/>
              <w:rPr>
                <w:rFonts w:ascii="Times New Roman" w:hAnsi="Times New Roman" w:cs="Times New Roman"/>
                <w:sz w:val="20"/>
                <w:szCs w:val="20"/>
                <w:lang w:val="hr-HR"/>
              </w:rPr>
            </w:pPr>
          </w:p>
        </w:tc>
      </w:tr>
    </w:tbl>
    <w:p w14:paraId="6DF37B55"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43" w:type="dxa"/>
        <w:tblLook w:val="04A0" w:firstRow="1" w:lastRow="0" w:firstColumn="1" w:lastColumn="0" w:noHBand="0" w:noVBand="1"/>
      </w:tblPr>
      <w:tblGrid>
        <w:gridCol w:w="2820"/>
        <w:gridCol w:w="6523"/>
      </w:tblGrid>
      <w:tr w:rsidR="005C6636" w:rsidRPr="001B11AB" w14:paraId="721A8221" w14:textId="77777777" w:rsidTr="006F4726">
        <w:tc>
          <w:tcPr>
            <w:tcW w:w="2820" w:type="dxa"/>
          </w:tcPr>
          <w:p w14:paraId="30CF5E72" w14:textId="77777777" w:rsidR="00BF6A78" w:rsidRPr="001B11AB" w:rsidRDefault="00BF6A78" w:rsidP="00897F23">
            <w:pPr>
              <w:spacing w:after="60"/>
              <w:rPr>
                <w:rFonts w:ascii="Times New Roman" w:hAnsi="Times New Roman" w:cs="Times New Roman"/>
                <w:b/>
                <w:sz w:val="20"/>
                <w:szCs w:val="20"/>
              </w:rPr>
            </w:pPr>
            <w:r w:rsidRPr="001B11AB">
              <w:rPr>
                <w:rFonts w:ascii="Times New Roman" w:hAnsi="Times New Roman" w:cs="Times New Roman"/>
                <w:b/>
                <w:sz w:val="20"/>
                <w:szCs w:val="20"/>
              </w:rPr>
              <w:t>Датум сачињавања извјештаја</w:t>
            </w:r>
          </w:p>
        </w:tc>
        <w:tc>
          <w:tcPr>
            <w:tcW w:w="6523" w:type="dxa"/>
          </w:tcPr>
          <w:p w14:paraId="1E670AEA" w14:textId="3A395B01" w:rsidR="00BF6A78" w:rsidRPr="001B11AB" w:rsidRDefault="00BF6A78" w:rsidP="002C70ED">
            <w:pPr>
              <w:spacing w:after="60"/>
              <w:rPr>
                <w:rFonts w:ascii="Times New Roman" w:hAnsi="Times New Roman" w:cs="Times New Roman"/>
                <w:i/>
                <w:sz w:val="20"/>
                <w:szCs w:val="20"/>
                <w:lang w:val="ru-RU"/>
              </w:rPr>
            </w:pPr>
            <w:r w:rsidRPr="001B11AB">
              <w:rPr>
                <w:rFonts w:ascii="Times New Roman" w:hAnsi="Times New Roman" w:cs="Times New Roman"/>
                <w:i/>
                <w:sz w:val="20"/>
                <w:szCs w:val="20"/>
                <w:lang w:val="ru-RU"/>
              </w:rPr>
              <w:t>[Навести датум на који је приједлог извјештаја упућен Управи банке на разматрање</w:t>
            </w:r>
            <w:r w:rsidR="002C70ED"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ru-RU"/>
              </w:rPr>
              <w:t>]</w:t>
            </w:r>
          </w:p>
        </w:tc>
      </w:tr>
    </w:tbl>
    <w:p w14:paraId="7DFF24FE"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42" w:type="dxa"/>
        <w:tblLook w:val="04A0" w:firstRow="1" w:lastRow="0" w:firstColumn="1" w:lastColumn="0" w:noHBand="0" w:noVBand="1"/>
      </w:tblPr>
      <w:tblGrid>
        <w:gridCol w:w="2819"/>
        <w:gridCol w:w="6523"/>
      </w:tblGrid>
      <w:tr w:rsidR="005C6636" w:rsidRPr="001B11AB" w14:paraId="10BD96DB" w14:textId="77777777" w:rsidTr="006F4726">
        <w:tc>
          <w:tcPr>
            <w:tcW w:w="2819" w:type="dxa"/>
          </w:tcPr>
          <w:p w14:paraId="403B31F7" w14:textId="77777777" w:rsidR="00BF6A78" w:rsidRPr="001B11AB" w:rsidRDefault="00BF6A78" w:rsidP="00897F23">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sr-Cyrl-BA"/>
              </w:rPr>
              <w:t>Лица</w:t>
            </w:r>
            <w:r w:rsidRPr="001B11AB">
              <w:rPr>
                <w:rFonts w:ascii="Times New Roman" w:hAnsi="Times New Roman" w:cs="Times New Roman"/>
                <w:b/>
                <w:sz w:val="20"/>
                <w:szCs w:val="20"/>
                <w:lang w:val="ru-RU"/>
              </w:rPr>
              <w:t xml:space="preserve"> која су сачињавала извјештај </w:t>
            </w:r>
          </w:p>
        </w:tc>
        <w:tc>
          <w:tcPr>
            <w:tcW w:w="6523" w:type="dxa"/>
          </w:tcPr>
          <w:p w14:paraId="39F896CA" w14:textId="094804E1" w:rsidR="00BF6A78" w:rsidRPr="001B11AB" w:rsidRDefault="00BF6A78" w:rsidP="002C70ED">
            <w:pPr>
              <w:spacing w:after="60"/>
              <w:jc w:val="both"/>
              <w:rPr>
                <w:rFonts w:ascii="Times New Roman" w:hAnsi="Times New Roman" w:cs="Times New Roman"/>
                <w:sz w:val="20"/>
                <w:szCs w:val="20"/>
                <w:lang w:val="hr-HR"/>
              </w:rPr>
            </w:pPr>
            <w:r w:rsidRPr="001B11AB">
              <w:rPr>
                <w:rFonts w:ascii="Times New Roman" w:hAnsi="Times New Roman" w:cs="Times New Roman"/>
                <w:i/>
                <w:sz w:val="20"/>
                <w:szCs w:val="20"/>
                <w:lang w:val="ru-RU"/>
              </w:rPr>
              <w:t xml:space="preserve">[Навести име и презиме сваког лица које је учествовало у изради извјештаја о </w:t>
            </w:r>
            <w:r w:rsidRPr="001B11AB">
              <w:rPr>
                <w:rFonts w:ascii="Times New Roman" w:hAnsi="Times New Roman" w:cs="Times New Roman"/>
                <w:i/>
                <w:sz w:val="20"/>
                <w:szCs w:val="20"/>
                <w:lang w:val="sr-Cyrl-CS"/>
              </w:rPr>
              <w:t>ICAAP-у</w:t>
            </w:r>
            <w:r w:rsidR="002C70ED"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ru-RU"/>
              </w:rPr>
              <w:t>]</w:t>
            </w:r>
          </w:p>
        </w:tc>
      </w:tr>
    </w:tbl>
    <w:p w14:paraId="5451105F" w14:textId="77777777" w:rsidR="00BF6A78" w:rsidRPr="001B11AB" w:rsidRDefault="00BF6A78" w:rsidP="00897F23">
      <w:pPr>
        <w:spacing w:after="60" w:line="240" w:lineRule="auto"/>
        <w:rPr>
          <w:rFonts w:ascii="Times New Roman" w:hAnsi="Times New Roman" w:cs="Times New Roman"/>
          <w:sz w:val="20"/>
          <w:szCs w:val="20"/>
          <w:lang w:val="hr-HR"/>
        </w:rPr>
      </w:pPr>
    </w:p>
    <w:tbl>
      <w:tblPr>
        <w:tblStyle w:val="TableGrid"/>
        <w:tblW w:w="9342" w:type="dxa"/>
        <w:tblLook w:val="04A0" w:firstRow="1" w:lastRow="0" w:firstColumn="1" w:lastColumn="0" w:noHBand="0" w:noVBand="1"/>
      </w:tblPr>
      <w:tblGrid>
        <w:gridCol w:w="2819"/>
        <w:gridCol w:w="6523"/>
      </w:tblGrid>
      <w:tr w:rsidR="005C6636" w:rsidRPr="001B11AB" w14:paraId="7D9C16DD" w14:textId="77777777" w:rsidTr="006F4726">
        <w:tc>
          <w:tcPr>
            <w:tcW w:w="2819" w:type="dxa"/>
          </w:tcPr>
          <w:p w14:paraId="44EDEAEC" w14:textId="77777777" w:rsidR="00BF6A78" w:rsidRPr="001B11AB" w:rsidRDefault="00BF6A78" w:rsidP="00897F23">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ru-RU"/>
              </w:rPr>
              <w:t>Назив радног мјеста лица која су сачињавала извјештај</w:t>
            </w:r>
          </w:p>
        </w:tc>
        <w:tc>
          <w:tcPr>
            <w:tcW w:w="6523" w:type="dxa"/>
          </w:tcPr>
          <w:p w14:paraId="765A347A" w14:textId="7EE038D1" w:rsidR="00BF6A78" w:rsidRPr="001B11AB" w:rsidRDefault="00BF6A78" w:rsidP="00897F23">
            <w:pPr>
              <w:spacing w:after="60"/>
              <w:jc w:val="both"/>
              <w:rPr>
                <w:rFonts w:ascii="Times New Roman" w:hAnsi="Times New Roman" w:cs="Times New Roman"/>
                <w:sz w:val="20"/>
                <w:szCs w:val="20"/>
                <w:lang w:val="hr-HR"/>
              </w:rPr>
            </w:pPr>
            <w:r w:rsidRPr="001B11AB">
              <w:rPr>
                <w:rFonts w:ascii="Times New Roman" w:hAnsi="Times New Roman" w:cs="Times New Roman"/>
                <w:i/>
                <w:sz w:val="20"/>
                <w:szCs w:val="20"/>
                <w:lang w:val="ru-RU"/>
              </w:rPr>
              <w:t>[Навести тачан</w:t>
            </w:r>
            <w:r w:rsidR="00D51513" w:rsidRPr="001B11AB">
              <w:rPr>
                <w:rFonts w:ascii="Times New Roman" w:hAnsi="Times New Roman" w:cs="Times New Roman"/>
                <w:i/>
                <w:sz w:val="20"/>
                <w:szCs w:val="20"/>
                <w:lang w:val="ru-RU"/>
              </w:rPr>
              <w:t xml:space="preserve"> </w:t>
            </w:r>
            <w:r w:rsidRPr="001B11AB">
              <w:rPr>
                <w:rFonts w:ascii="Times New Roman" w:hAnsi="Times New Roman" w:cs="Times New Roman"/>
                <w:i/>
                <w:sz w:val="20"/>
                <w:szCs w:val="20"/>
                <w:lang w:val="ru-RU"/>
              </w:rPr>
              <w:t xml:space="preserve">назив радног мјеста сваког лица које је учествовало у изради извјештаја о </w:t>
            </w:r>
            <w:r w:rsidRPr="001B11AB">
              <w:rPr>
                <w:rFonts w:ascii="Times New Roman" w:hAnsi="Times New Roman" w:cs="Times New Roman"/>
                <w:i/>
                <w:sz w:val="20"/>
                <w:szCs w:val="20"/>
                <w:lang w:val="sr-Cyrl-CS"/>
              </w:rPr>
              <w:t>ICAAP-у</w:t>
            </w:r>
            <w:r w:rsidR="002C70ED" w:rsidRPr="001B11AB">
              <w:rPr>
                <w:rFonts w:ascii="Times New Roman" w:hAnsi="Times New Roman" w:cs="Times New Roman"/>
                <w:i/>
                <w:sz w:val="20"/>
                <w:szCs w:val="20"/>
                <w:lang w:val="sr-Cyrl-CS"/>
              </w:rPr>
              <w:t>.</w:t>
            </w:r>
            <w:r w:rsidR="002C70ED" w:rsidRPr="001B11AB">
              <w:rPr>
                <w:rFonts w:ascii="Times New Roman" w:hAnsi="Times New Roman" w:cs="Times New Roman"/>
                <w:i/>
                <w:sz w:val="20"/>
                <w:szCs w:val="20"/>
                <w:lang w:val="ru-RU"/>
              </w:rPr>
              <w:t>]</w:t>
            </w:r>
          </w:p>
        </w:tc>
      </w:tr>
    </w:tbl>
    <w:p w14:paraId="682627E0"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45" w:type="dxa"/>
        <w:tblLook w:val="04A0" w:firstRow="1" w:lastRow="0" w:firstColumn="1" w:lastColumn="0" w:noHBand="0" w:noVBand="1"/>
      </w:tblPr>
      <w:tblGrid>
        <w:gridCol w:w="2822"/>
        <w:gridCol w:w="6523"/>
      </w:tblGrid>
      <w:tr w:rsidR="005C6636" w:rsidRPr="001B11AB" w14:paraId="5FCA7AC0" w14:textId="77777777" w:rsidTr="006F4726">
        <w:tc>
          <w:tcPr>
            <w:tcW w:w="2822" w:type="dxa"/>
          </w:tcPr>
          <w:p w14:paraId="1AD4A581" w14:textId="77777777" w:rsidR="00BF6A78" w:rsidRPr="001B11AB" w:rsidRDefault="00BF6A78" w:rsidP="00897F23">
            <w:pPr>
              <w:rPr>
                <w:rFonts w:ascii="Times New Roman" w:hAnsi="Times New Roman" w:cs="Times New Roman"/>
                <w:b/>
                <w:sz w:val="20"/>
                <w:szCs w:val="20"/>
                <w:lang w:val="sr-Cyrl-BA"/>
              </w:rPr>
            </w:pPr>
            <w:r w:rsidRPr="001B11AB">
              <w:rPr>
                <w:rFonts w:ascii="Times New Roman" w:hAnsi="Times New Roman" w:cs="Times New Roman"/>
                <w:b/>
                <w:sz w:val="20"/>
                <w:szCs w:val="20"/>
                <w:lang w:val="ru-RU"/>
              </w:rPr>
              <w:t>Организациони дио</w:t>
            </w:r>
            <w:r w:rsidRPr="001B11AB">
              <w:rPr>
                <w:rFonts w:ascii="Times New Roman" w:hAnsi="Times New Roman" w:cs="Times New Roman"/>
                <w:b/>
                <w:sz w:val="20"/>
                <w:szCs w:val="20"/>
                <w:lang w:val="sr-Cyrl-BA"/>
              </w:rPr>
              <w:t xml:space="preserve"> лица </w:t>
            </w:r>
            <w:r w:rsidRPr="001B11AB">
              <w:rPr>
                <w:rFonts w:ascii="Times New Roman" w:hAnsi="Times New Roman" w:cs="Times New Roman"/>
                <w:b/>
                <w:sz w:val="20"/>
                <w:szCs w:val="20"/>
                <w:lang w:val="ru-RU"/>
              </w:rPr>
              <w:t>која су сачињавала извјештај</w:t>
            </w:r>
          </w:p>
        </w:tc>
        <w:tc>
          <w:tcPr>
            <w:tcW w:w="6523" w:type="dxa"/>
          </w:tcPr>
          <w:p w14:paraId="6ADDF344" w14:textId="7A9C69AF" w:rsidR="00BF6A78" w:rsidRPr="001B11AB" w:rsidRDefault="00BF6A78" w:rsidP="00897F23">
            <w:pPr>
              <w:spacing w:after="60"/>
              <w:jc w:val="both"/>
              <w:rPr>
                <w:rFonts w:ascii="Times New Roman" w:hAnsi="Times New Roman" w:cs="Times New Roman"/>
                <w:sz w:val="20"/>
                <w:szCs w:val="20"/>
                <w:lang w:val="hr-HR"/>
              </w:rPr>
            </w:pPr>
            <w:r w:rsidRPr="001B11AB">
              <w:rPr>
                <w:rFonts w:ascii="Times New Roman" w:hAnsi="Times New Roman" w:cs="Times New Roman"/>
                <w:i/>
                <w:sz w:val="20"/>
                <w:szCs w:val="20"/>
                <w:lang w:val="ru-RU"/>
              </w:rPr>
              <w:t xml:space="preserve">[Навести </w:t>
            </w:r>
            <w:r w:rsidRPr="001B11AB">
              <w:rPr>
                <w:rFonts w:ascii="Times New Roman" w:hAnsi="Times New Roman" w:cs="Times New Roman"/>
                <w:i/>
                <w:sz w:val="20"/>
                <w:szCs w:val="20"/>
                <w:lang w:val="sr-Cyrl-BA"/>
              </w:rPr>
              <w:t>н</w:t>
            </w:r>
            <w:r w:rsidR="00B95BF1" w:rsidRPr="001B11AB">
              <w:rPr>
                <w:rFonts w:ascii="Times New Roman" w:hAnsi="Times New Roman" w:cs="Times New Roman"/>
                <w:i/>
                <w:sz w:val="20"/>
                <w:szCs w:val="20"/>
                <w:lang w:val="sr-Cyrl-BA"/>
              </w:rPr>
              <w:t>аз</w:t>
            </w:r>
            <w:r w:rsidRPr="001B11AB">
              <w:rPr>
                <w:rFonts w:ascii="Times New Roman" w:hAnsi="Times New Roman" w:cs="Times New Roman"/>
                <w:i/>
                <w:sz w:val="20"/>
                <w:szCs w:val="20"/>
                <w:lang w:val="sr-Cyrl-BA"/>
              </w:rPr>
              <w:t xml:space="preserve">иве </w:t>
            </w:r>
            <w:r w:rsidRPr="001B11AB">
              <w:rPr>
                <w:rFonts w:ascii="Times New Roman" w:hAnsi="Times New Roman" w:cs="Times New Roman"/>
                <w:i/>
                <w:sz w:val="20"/>
                <w:szCs w:val="20"/>
                <w:lang w:val="ru-RU"/>
              </w:rPr>
              <w:t xml:space="preserve">организационих дијелова који су учествовали у изради извјештаја о </w:t>
            </w:r>
            <w:r w:rsidRPr="001B11AB">
              <w:rPr>
                <w:rFonts w:ascii="Times New Roman" w:hAnsi="Times New Roman" w:cs="Times New Roman"/>
                <w:i/>
                <w:sz w:val="20"/>
                <w:szCs w:val="20"/>
                <w:lang w:val="sr-Cyrl-CS"/>
              </w:rPr>
              <w:t>ICAAP-у</w:t>
            </w:r>
            <w:r w:rsidR="002C70ED" w:rsidRPr="001B11AB">
              <w:rPr>
                <w:rFonts w:ascii="Times New Roman" w:hAnsi="Times New Roman" w:cs="Times New Roman"/>
                <w:i/>
                <w:sz w:val="20"/>
                <w:szCs w:val="20"/>
                <w:lang w:val="sr-Cyrl-CS"/>
              </w:rPr>
              <w:t>.</w:t>
            </w:r>
            <w:r w:rsidR="002C70ED" w:rsidRPr="001B11AB">
              <w:rPr>
                <w:rFonts w:ascii="Times New Roman" w:hAnsi="Times New Roman" w:cs="Times New Roman"/>
                <w:i/>
                <w:sz w:val="20"/>
                <w:szCs w:val="20"/>
                <w:lang w:val="ru-RU"/>
              </w:rPr>
              <w:t>]</w:t>
            </w:r>
          </w:p>
        </w:tc>
      </w:tr>
    </w:tbl>
    <w:p w14:paraId="75D40C1C"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42" w:type="dxa"/>
        <w:tblLook w:val="04A0" w:firstRow="1" w:lastRow="0" w:firstColumn="1" w:lastColumn="0" w:noHBand="0" w:noVBand="1"/>
      </w:tblPr>
      <w:tblGrid>
        <w:gridCol w:w="2819"/>
        <w:gridCol w:w="6523"/>
      </w:tblGrid>
      <w:tr w:rsidR="005C6636" w:rsidRPr="001B11AB" w14:paraId="7B0AD353" w14:textId="77777777" w:rsidTr="006F4726">
        <w:tc>
          <w:tcPr>
            <w:tcW w:w="2819" w:type="dxa"/>
          </w:tcPr>
          <w:p w14:paraId="62E191BF" w14:textId="42B763A0" w:rsidR="00BF6A78" w:rsidRPr="001B11AB" w:rsidRDefault="00BF6A78" w:rsidP="002C70ED">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ru-RU"/>
              </w:rPr>
              <w:t xml:space="preserve">Телефон и </w:t>
            </w:r>
            <w:r w:rsidR="002C70ED" w:rsidRPr="001B11AB">
              <w:rPr>
                <w:rFonts w:ascii="Times New Roman" w:hAnsi="Times New Roman" w:cs="Times New Roman"/>
                <w:b/>
                <w:sz w:val="20"/>
                <w:szCs w:val="20"/>
                <w:lang w:val="sr-Cyrl-BA"/>
              </w:rPr>
              <w:t>имејл-</w:t>
            </w:r>
            <w:r w:rsidRPr="001B11AB">
              <w:rPr>
                <w:rFonts w:ascii="Times New Roman" w:hAnsi="Times New Roman" w:cs="Times New Roman"/>
                <w:b/>
                <w:sz w:val="20"/>
                <w:szCs w:val="20"/>
                <w:lang w:val="ru-RU"/>
              </w:rPr>
              <w:t>адреса контакт лица</w:t>
            </w:r>
          </w:p>
        </w:tc>
        <w:tc>
          <w:tcPr>
            <w:tcW w:w="6523" w:type="dxa"/>
          </w:tcPr>
          <w:p w14:paraId="02A124BB" w14:textId="24CC4D0F" w:rsidR="00BF6A78" w:rsidRPr="001B11AB" w:rsidRDefault="00BF6A78" w:rsidP="002C70ED">
            <w:pPr>
              <w:spacing w:after="60"/>
              <w:jc w:val="both"/>
              <w:rPr>
                <w:rFonts w:ascii="Times New Roman" w:hAnsi="Times New Roman" w:cs="Times New Roman"/>
                <w:sz w:val="20"/>
                <w:szCs w:val="20"/>
                <w:lang w:val="hr-HR"/>
              </w:rPr>
            </w:pPr>
            <w:r w:rsidRPr="001B11AB">
              <w:rPr>
                <w:rFonts w:ascii="Times New Roman" w:hAnsi="Times New Roman" w:cs="Times New Roman"/>
                <w:i/>
                <w:sz w:val="20"/>
                <w:szCs w:val="20"/>
                <w:lang w:val="ru-RU"/>
              </w:rPr>
              <w:t>[Навести контакт податке лица које ће бити задужено за комуникацију са Агенцијом у</w:t>
            </w:r>
            <w:r w:rsidR="002C70ED" w:rsidRPr="001B11AB">
              <w:rPr>
                <w:rFonts w:ascii="Times New Roman" w:hAnsi="Times New Roman" w:cs="Times New Roman"/>
                <w:i/>
                <w:sz w:val="20"/>
                <w:szCs w:val="20"/>
                <w:lang w:val="ru-RU"/>
              </w:rPr>
              <w:t xml:space="preserve"> вези са предметним извјештајем</w:t>
            </w:r>
            <w:r w:rsidR="00EF1AFA" w:rsidRPr="001B11AB">
              <w:rPr>
                <w:rFonts w:ascii="Times New Roman" w:hAnsi="Times New Roman" w:cs="Times New Roman"/>
                <w:i/>
                <w:sz w:val="20"/>
                <w:szCs w:val="20"/>
                <w:lang w:val="sr-Latn-BA"/>
              </w:rPr>
              <w:t>,</w:t>
            </w:r>
            <w:r w:rsidRPr="001B11AB">
              <w:rPr>
                <w:rFonts w:ascii="Times New Roman" w:hAnsi="Times New Roman" w:cs="Times New Roman"/>
                <w:i/>
                <w:sz w:val="20"/>
                <w:szCs w:val="20"/>
                <w:lang w:val="ru-RU"/>
              </w:rPr>
              <w:t xml:space="preserve"> </w:t>
            </w:r>
            <w:r w:rsidR="002C70ED" w:rsidRPr="001B11AB">
              <w:rPr>
                <w:rFonts w:ascii="Times New Roman" w:hAnsi="Times New Roman" w:cs="Times New Roman"/>
                <w:i/>
                <w:sz w:val="20"/>
                <w:szCs w:val="20"/>
                <w:lang w:val="ru-RU"/>
              </w:rPr>
              <w:t>као и</w:t>
            </w:r>
            <w:r w:rsidRPr="001B11AB">
              <w:rPr>
                <w:rFonts w:ascii="Times New Roman" w:hAnsi="Times New Roman" w:cs="Times New Roman"/>
                <w:i/>
                <w:sz w:val="20"/>
                <w:szCs w:val="20"/>
                <w:lang w:val="ru-RU"/>
              </w:rPr>
              <w:t xml:space="preserve"> замјене контакт лица</w:t>
            </w:r>
            <w:r w:rsidR="002C70ED" w:rsidRPr="001B11AB">
              <w:rPr>
                <w:rFonts w:ascii="Times New Roman" w:hAnsi="Times New Roman" w:cs="Times New Roman"/>
                <w:i/>
                <w:sz w:val="20"/>
                <w:szCs w:val="20"/>
                <w:lang w:val="sr-Cyrl-CS"/>
              </w:rPr>
              <w:t>.</w:t>
            </w:r>
            <w:r w:rsidR="002C70ED" w:rsidRPr="001B11AB">
              <w:rPr>
                <w:rFonts w:ascii="Times New Roman" w:hAnsi="Times New Roman" w:cs="Times New Roman"/>
                <w:i/>
                <w:sz w:val="20"/>
                <w:szCs w:val="20"/>
                <w:lang w:val="ru-RU"/>
              </w:rPr>
              <w:t>]</w:t>
            </w:r>
          </w:p>
        </w:tc>
      </w:tr>
    </w:tbl>
    <w:p w14:paraId="695A1C9A"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42" w:type="dxa"/>
        <w:tblLook w:val="04A0" w:firstRow="1" w:lastRow="0" w:firstColumn="1" w:lastColumn="0" w:noHBand="0" w:noVBand="1"/>
      </w:tblPr>
      <w:tblGrid>
        <w:gridCol w:w="2819"/>
        <w:gridCol w:w="6523"/>
      </w:tblGrid>
      <w:tr w:rsidR="005C6636" w:rsidRPr="001B11AB" w14:paraId="489FD9EE" w14:textId="77777777" w:rsidTr="006F4726">
        <w:tc>
          <w:tcPr>
            <w:tcW w:w="2819" w:type="dxa"/>
          </w:tcPr>
          <w:p w14:paraId="41081DAE" w14:textId="77777777" w:rsidR="00BF6A78" w:rsidRPr="001B11AB" w:rsidRDefault="00BF6A78" w:rsidP="00897F23">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ru-RU"/>
              </w:rPr>
              <w:t>Процјена адекватности успостављеног</w:t>
            </w:r>
            <w:r w:rsidRPr="001B11AB">
              <w:rPr>
                <w:rFonts w:ascii="Times New Roman" w:hAnsi="Times New Roman" w:cs="Times New Roman"/>
                <w:b/>
                <w:i/>
                <w:sz w:val="20"/>
                <w:szCs w:val="20"/>
                <w:lang w:val="ru-RU"/>
              </w:rPr>
              <w:t xml:space="preserve"> </w:t>
            </w:r>
            <w:r w:rsidRPr="001B11AB">
              <w:rPr>
                <w:rFonts w:ascii="Times New Roman" w:hAnsi="Times New Roman" w:cs="Times New Roman"/>
                <w:b/>
                <w:i/>
                <w:sz w:val="24"/>
                <w:szCs w:val="24"/>
              </w:rPr>
              <w:t>ICAAP</w:t>
            </w:r>
            <w:r w:rsidRPr="001B11AB">
              <w:rPr>
                <w:rFonts w:ascii="Times New Roman" w:hAnsi="Times New Roman" w:cs="Times New Roman"/>
                <w:b/>
                <w:sz w:val="24"/>
                <w:szCs w:val="24"/>
                <w:lang w:val="ru-RU"/>
              </w:rPr>
              <w:t>-</w:t>
            </w:r>
            <w:r w:rsidRPr="001B11AB">
              <w:rPr>
                <w:rFonts w:ascii="Times New Roman" w:hAnsi="Times New Roman" w:cs="Times New Roman"/>
                <w:b/>
                <w:lang w:val="ru-RU"/>
              </w:rPr>
              <w:t>а</w:t>
            </w:r>
            <w:r w:rsidRPr="001B11AB">
              <w:rPr>
                <w:rFonts w:ascii="Times New Roman" w:hAnsi="Times New Roman" w:cs="Times New Roman"/>
                <w:sz w:val="24"/>
                <w:szCs w:val="24"/>
                <w:lang w:val="ru-RU"/>
              </w:rPr>
              <w:t xml:space="preserve"> </w:t>
            </w:r>
            <w:r w:rsidRPr="001B11AB">
              <w:rPr>
                <w:rFonts w:ascii="Times New Roman" w:hAnsi="Times New Roman" w:cs="Times New Roman"/>
                <w:b/>
                <w:sz w:val="20"/>
                <w:szCs w:val="20"/>
                <w:lang w:val="ru-RU"/>
              </w:rPr>
              <w:t>од стране интерне ревизије</w:t>
            </w:r>
          </w:p>
        </w:tc>
        <w:tc>
          <w:tcPr>
            <w:tcW w:w="6523" w:type="dxa"/>
          </w:tcPr>
          <w:p w14:paraId="6F677EF7" w14:textId="54C742CA" w:rsidR="00BF6A78" w:rsidRPr="001B11AB" w:rsidRDefault="00BF6A78" w:rsidP="00897F23">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[Описати статус провођења процјене адекватности ICAAP-а од стране интерне ревизије</w:t>
            </w:r>
            <w:r w:rsidR="002C70ED" w:rsidRPr="001B11AB">
              <w:rPr>
                <w:rFonts w:ascii="Times New Roman" w:hAnsi="Times New Roman" w:cs="Times New Roman"/>
                <w:i/>
                <w:sz w:val="20"/>
                <w:szCs w:val="20"/>
                <w:lang w:val="sr-Cyrl-CS"/>
              </w:rPr>
              <w:t>.</w:t>
            </w:r>
            <w:r w:rsidR="002C70ED" w:rsidRPr="001B11AB">
              <w:rPr>
                <w:rFonts w:ascii="Times New Roman" w:hAnsi="Times New Roman" w:cs="Times New Roman"/>
                <w:i/>
                <w:sz w:val="20"/>
                <w:szCs w:val="20"/>
                <w:lang w:val="ru-RU"/>
              </w:rPr>
              <w:t>]</w:t>
            </w:r>
          </w:p>
          <w:p w14:paraId="707EB301" w14:textId="77777777" w:rsidR="005C6636" w:rsidRPr="001B11AB" w:rsidRDefault="005C6636" w:rsidP="00897F23">
            <w:pPr>
              <w:spacing w:after="60"/>
              <w:jc w:val="both"/>
              <w:rPr>
                <w:rFonts w:ascii="Times New Roman" w:hAnsi="Times New Roman" w:cs="Times New Roman"/>
                <w:i/>
                <w:sz w:val="20"/>
                <w:szCs w:val="20"/>
                <w:lang w:val="ru-RU"/>
              </w:rPr>
            </w:pPr>
          </w:p>
          <w:p w14:paraId="47A60F25" w14:textId="239CE180" w:rsidR="00BF6A78" w:rsidRPr="001B11AB" w:rsidRDefault="00BF6A78" w:rsidP="002C70ED">
            <w:pPr>
              <w:spacing w:after="60"/>
              <w:jc w:val="both"/>
              <w:rPr>
                <w:rFonts w:ascii="Times New Roman" w:hAnsi="Times New Roman" w:cs="Times New Roman"/>
                <w:sz w:val="20"/>
                <w:szCs w:val="20"/>
                <w:lang w:val="hr-HR"/>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2C70ED"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је дужна доставити потписани извјештај интерне ревизије најкасније до 30.06. </w:t>
            </w:r>
            <w:r w:rsidRPr="001B11AB">
              <w:rPr>
                <w:rFonts w:ascii="Times New Roman" w:hAnsi="Times New Roman" w:cs="Times New Roman"/>
                <w:i/>
                <w:sz w:val="20"/>
                <w:szCs w:val="20"/>
                <w:lang w:val="sr-Cyrl-BA"/>
              </w:rPr>
              <w:t>текуће године.</w:t>
            </w:r>
            <w:r w:rsidRPr="001B11AB">
              <w:rPr>
                <w:rFonts w:ascii="Times New Roman" w:hAnsi="Times New Roman" w:cs="Times New Roman"/>
                <w:i/>
                <w:sz w:val="24"/>
                <w:szCs w:val="24"/>
                <w:lang w:val="ru-RU"/>
              </w:rPr>
              <w:t xml:space="preserve"> </w:t>
            </w:r>
          </w:p>
        </w:tc>
      </w:tr>
    </w:tbl>
    <w:p w14:paraId="377850FC"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38" w:type="dxa"/>
        <w:tblLook w:val="04A0" w:firstRow="1" w:lastRow="0" w:firstColumn="1" w:lastColumn="0" w:noHBand="0" w:noVBand="1"/>
      </w:tblPr>
      <w:tblGrid>
        <w:gridCol w:w="2815"/>
        <w:gridCol w:w="6523"/>
      </w:tblGrid>
      <w:tr w:rsidR="005C6636" w:rsidRPr="001B11AB" w14:paraId="4223FFB2" w14:textId="77777777" w:rsidTr="006F4726">
        <w:tc>
          <w:tcPr>
            <w:tcW w:w="2815" w:type="dxa"/>
          </w:tcPr>
          <w:p w14:paraId="0E2B9978" w14:textId="4CD34960" w:rsidR="00BF6A78" w:rsidRPr="001B11AB" w:rsidRDefault="00BF6A78" w:rsidP="002C70ED">
            <w:pPr>
              <w:spacing w:after="60"/>
              <w:rPr>
                <w:rFonts w:ascii="Times New Roman" w:hAnsi="Times New Roman" w:cs="Times New Roman"/>
                <w:b/>
                <w:sz w:val="20"/>
                <w:szCs w:val="20"/>
                <w:lang w:val="hr-BA"/>
              </w:rPr>
            </w:pPr>
            <w:r w:rsidRPr="001B11AB">
              <w:rPr>
                <w:rFonts w:ascii="Times New Roman" w:hAnsi="Times New Roman" w:cs="Times New Roman"/>
                <w:b/>
                <w:sz w:val="20"/>
                <w:szCs w:val="20"/>
                <w:lang w:val="ru-RU"/>
              </w:rPr>
              <w:t>Одобрење Управе банке</w:t>
            </w:r>
          </w:p>
        </w:tc>
        <w:tc>
          <w:tcPr>
            <w:tcW w:w="6523" w:type="dxa"/>
          </w:tcPr>
          <w:p w14:paraId="39AB5B99" w14:textId="4CED95B4" w:rsidR="00BF6A78" w:rsidRPr="001B11AB" w:rsidRDefault="00BF6A78" w:rsidP="00897F23">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[Навести датум усвајања приједлога извјештаја о </w:t>
            </w:r>
            <w:r w:rsidRPr="001B11AB">
              <w:rPr>
                <w:rFonts w:ascii="Times New Roman" w:hAnsi="Times New Roman" w:cs="Times New Roman"/>
                <w:i/>
                <w:sz w:val="20"/>
                <w:szCs w:val="20"/>
                <w:lang w:val="sr-Cyrl-CS"/>
              </w:rPr>
              <w:t>ICAAP-у од стране Управе банке</w:t>
            </w:r>
            <w:r w:rsidR="002C70ED" w:rsidRPr="001B11AB">
              <w:rPr>
                <w:rFonts w:ascii="Times New Roman" w:hAnsi="Times New Roman" w:cs="Times New Roman"/>
                <w:i/>
                <w:sz w:val="20"/>
                <w:szCs w:val="20"/>
                <w:lang w:val="sr-Cyrl-CS"/>
              </w:rPr>
              <w:t>.</w:t>
            </w:r>
            <w:r w:rsidR="002C70ED" w:rsidRPr="001B11AB">
              <w:rPr>
                <w:rFonts w:ascii="Times New Roman" w:hAnsi="Times New Roman" w:cs="Times New Roman"/>
                <w:i/>
                <w:sz w:val="20"/>
                <w:szCs w:val="20"/>
                <w:lang w:val="ru-RU"/>
              </w:rPr>
              <w:t>]</w:t>
            </w:r>
          </w:p>
          <w:p w14:paraId="7DE5CF99" w14:textId="77777777" w:rsidR="005C6636" w:rsidRPr="001B11AB" w:rsidRDefault="005C6636" w:rsidP="00897F23">
            <w:pPr>
              <w:spacing w:after="60"/>
              <w:rPr>
                <w:rFonts w:ascii="Times New Roman" w:hAnsi="Times New Roman" w:cs="Times New Roman"/>
                <w:i/>
                <w:sz w:val="20"/>
                <w:szCs w:val="20"/>
                <w:lang w:val="ru-RU"/>
              </w:rPr>
            </w:pPr>
          </w:p>
          <w:p w14:paraId="745A2AAC" w14:textId="097639D2" w:rsidR="00BF6A78" w:rsidRPr="001B11AB" w:rsidRDefault="00BF6A78" w:rsidP="002C70ED">
            <w:pPr>
              <w:spacing w:after="60"/>
              <w:rPr>
                <w:rFonts w:ascii="Times New Roman" w:hAnsi="Times New Roman" w:cs="Times New Roman"/>
                <w:i/>
                <w:sz w:val="20"/>
                <w:szCs w:val="20"/>
                <w:lang w:val="ru-RU"/>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2C70ED"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је дужна доставити предметну одлуку о усвајању, као и записник </w:t>
            </w:r>
            <w:r w:rsidR="002C70ED" w:rsidRPr="001B11AB">
              <w:rPr>
                <w:rFonts w:ascii="Times New Roman" w:hAnsi="Times New Roman" w:cs="Times New Roman"/>
                <w:i/>
                <w:sz w:val="20"/>
                <w:szCs w:val="20"/>
                <w:lang w:val="ru-RU"/>
              </w:rPr>
              <w:t>с</w:t>
            </w:r>
            <w:r w:rsidRPr="001B11AB">
              <w:rPr>
                <w:rFonts w:ascii="Times New Roman" w:hAnsi="Times New Roman" w:cs="Times New Roman"/>
                <w:i/>
                <w:sz w:val="20"/>
                <w:szCs w:val="20"/>
                <w:lang w:val="ru-RU"/>
              </w:rPr>
              <w:t>а сједнице на којој је разматран приједлог извјештаја.</w:t>
            </w:r>
          </w:p>
        </w:tc>
      </w:tr>
    </w:tbl>
    <w:p w14:paraId="7A152933" w14:textId="77777777" w:rsidR="00BF6A78" w:rsidRPr="001B11AB" w:rsidRDefault="00BF6A78" w:rsidP="00897F23">
      <w:pPr>
        <w:spacing w:after="0" w:line="240" w:lineRule="auto"/>
        <w:rPr>
          <w:rFonts w:ascii="Times New Roman" w:hAnsi="Times New Roman" w:cs="Times New Roman"/>
          <w:sz w:val="20"/>
          <w:szCs w:val="20"/>
          <w:lang w:val="hr-HR"/>
        </w:rPr>
      </w:pPr>
    </w:p>
    <w:tbl>
      <w:tblPr>
        <w:tblStyle w:val="TableGrid"/>
        <w:tblW w:w="9339" w:type="dxa"/>
        <w:tblLook w:val="04A0" w:firstRow="1" w:lastRow="0" w:firstColumn="1" w:lastColumn="0" w:noHBand="0" w:noVBand="1"/>
      </w:tblPr>
      <w:tblGrid>
        <w:gridCol w:w="2816"/>
        <w:gridCol w:w="6523"/>
      </w:tblGrid>
      <w:tr w:rsidR="005C6636" w:rsidRPr="001B11AB" w14:paraId="491BB249" w14:textId="77777777" w:rsidTr="006F4726">
        <w:tc>
          <w:tcPr>
            <w:tcW w:w="2816" w:type="dxa"/>
          </w:tcPr>
          <w:p w14:paraId="18DA8C0E" w14:textId="1794D647" w:rsidR="00BF6A78" w:rsidRPr="001B11AB" w:rsidRDefault="00BF6A78" w:rsidP="002C70ED">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ru-RU"/>
              </w:rPr>
              <w:t>Одобрење Надзорног одбора</w:t>
            </w:r>
          </w:p>
        </w:tc>
        <w:tc>
          <w:tcPr>
            <w:tcW w:w="6523" w:type="dxa"/>
          </w:tcPr>
          <w:p w14:paraId="133BB8C0" w14:textId="5A6A4D1B" w:rsidR="00BF6A78" w:rsidRPr="001B11AB" w:rsidRDefault="00BF6A78" w:rsidP="00897F23">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[Навести датум усвајања извјештаја о </w:t>
            </w:r>
            <w:r w:rsidRPr="001B11AB">
              <w:rPr>
                <w:rFonts w:ascii="Times New Roman" w:hAnsi="Times New Roman" w:cs="Times New Roman"/>
                <w:i/>
                <w:sz w:val="20"/>
                <w:szCs w:val="20"/>
                <w:lang w:val="sr-Cyrl-CS"/>
              </w:rPr>
              <w:t>ICAAP-у од стране Надзорног одбора</w:t>
            </w:r>
            <w:r w:rsidR="002C70ED" w:rsidRPr="001B11AB">
              <w:rPr>
                <w:rFonts w:ascii="Times New Roman" w:hAnsi="Times New Roman" w:cs="Times New Roman"/>
                <w:i/>
                <w:sz w:val="20"/>
                <w:szCs w:val="20"/>
                <w:lang w:val="sr-Cyrl-CS"/>
              </w:rPr>
              <w:t>.</w:t>
            </w:r>
            <w:r w:rsidR="002C70ED" w:rsidRPr="001B11AB">
              <w:rPr>
                <w:rFonts w:ascii="Times New Roman" w:hAnsi="Times New Roman" w:cs="Times New Roman"/>
                <w:i/>
                <w:sz w:val="20"/>
                <w:szCs w:val="20"/>
                <w:lang w:val="ru-RU"/>
              </w:rPr>
              <w:t>]</w:t>
            </w:r>
          </w:p>
          <w:p w14:paraId="752B520C" w14:textId="77777777" w:rsidR="005C6636" w:rsidRPr="001B11AB" w:rsidRDefault="005C6636" w:rsidP="00897F23">
            <w:pPr>
              <w:spacing w:after="60"/>
              <w:jc w:val="both"/>
              <w:rPr>
                <w:rFonts w:ascii="Times New Roman" w:hAnsi="Times New Roman" w:cs="Times New Roman"/>
                <w:i/>
                <w:sz w:val="20"/>
                <w:szCs w:val="20"/>
                <w:lang w:val="ru-RU"/>
              </w:rPr>
            </w:pPr>
          </w:p>
          <w:p w14:paraId="19F78E52" w14:textId="7B63D211" w:rsidR="00BF6A78" w:rsidRPr="001B11AB" w:rsidRDefault="00BF6A78" w:rsidP="002C70ED">
            <w:pPr>
              <w:spacing w:after="60"/>
              <w:jc w:val="both"/>
              <w:rPr>
                <w:rFonts w:ascii="Times New Roman" w:hAnsi="Times New Roman" w:cs="Times New Roman"/>
                <w:i/>
                <w:sz w:val="20"/>
                <w:szCs w:val="20"/>
                <w:lang w:val="ru-RU"/>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2C70ED"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је дужна доставити предметну одлуку о усвајању, пратећи допис достављен Надзорном одбору уз приједлог Извјештаја о ICAAP-у и пратеће материјале, као и записник </w:t>
            </w:r>
            <w:r w:rsidR="00F6703C" w:rsidRPr="001B11AB">
              <w:rPr>
                <w:rFonts w:ascii="Times New Roman" w:hAnsi="Times New Roman" w:cs="Times New Roman"/>
                <w:i/>
                <w:sz w:val="20"/>
                <w:szCs w:val="20"/>
                <w:lang w:val="ru-RU"/>
              </w:rPr>
              <w:t>с</w:t>
            </w:r>
            <w:r w:rsidRPr="001B11AB">
              <w:rPr>
                <w:rFonts w:ascii="Times New Roman" w:hAnsi="Times New Roman" w:cs="Times New Roman"/>
                <w:i/>
                <w:sz w:val="20"/>
                <w:szCs w:val="20"/>
                <w:lang w:val="ru-RU"/>
              </w:rPr>
              <w:t>а сједнице на којој је разматран приједлог извјештаја.</w:t>
            </w:r>
          </w:p>
        </w:tc>
      </w:tr>
    </w:tbl>
    <w:p w14:paraId="469373D5" w14:textId="77777777" w:rsidR="00BF6A78" w:rsidRPr="001B11AB" w:rsidRDefault="00BF6A78" w:rsidP="00897F23">
      <w:pPr>
        <w:spacing w:after="0" w:line="240" w:lineRule="auto"/>
        <w:jc w:val="both"/>
        <w:rPr>
          <w:rFonts w:ascii="Times New Roman" w:hAnsi="Times New Roman" w:cs="Times New Roman"/>
          <w:sz w:val="20"/>
          <w:szCs w:val="20"/>
          <w:lang w:val="ru-RU"/>
        </w:rPr>
      </w:pPr>
    </w:p>
    <w:tbl>
      <w:tblPr>
        <w:tblStyle w:val="TableGrid"/>
        <w:tblW w:w="9356" w:type="dxa"/>
        <w:tblLook w:val="04A0" w:firstRow="1" w:lastRow="0" w:firstColumn="1" w:lastColumn="0" w:noHBand="0" w:noVBand="1"/>
      </w:tblPr>
      <w:tblGrid>
        <w:gridCol w:w="2835"/>
        <w:gridCol w:w="6521"/>
      </w:tblGrid>
      <w:tr w:rsidR="005C6636" w:rsidRPr="001B11AB" w14:paraId="44FEE426" w14:textId="77777777" w:rsidTr="006F4726">
        <w:tc>
          <w:tcPr>
            <w:tcW w:w="2835" w:type="dxa"/>
          </w:tcPr>
          <w:p w14:paraId="21CFA000" w14:textId="77777777" w:rsidR="00BF6A78" w:rsidRPr="001B11AB" w:rsidRDefault="00BF6A78" w:rsidP="00897F23">
            <w:pPr>
              <w:spacing w:after="60"/>
              <w:rPr>
                <w:rFonts w:ascii="Times New Roman" w:hAnsi="Times New Roman" w:cs="Times New Roman"/>
                <w:b/>
                <w:sz w:val="20"/>
                <w:szCs w:val="20"/>
                <w:lang w:val="ru-RU"/>
              </w:rPr>
            </w:pPr>
            <w:r w:rsidRPr="001B11AB">
              <w:rPr>
                <w:rFonts w:ascii="Times New Roman" w:hAnsi="Times New Roman" w:cs="Times New Roman"/>
                <w:b/>
                <w:sz w:val="20"/>
                <w:szCs w:val="20"/>
                <w:lang w:val="sr-Cyrl-CS"/>
              </w:rPr>
              <w:lastRenderedPageBreak/>
              <w:t xml:space="preserve">Опсег примјене ICAAP-а у банци (1 – </w:t>
            </w:r>
            <w:r w:rsidRPr="001B11AB">
              <w:rPr>
                <w:rFonts w:ascii="Times New Roman" w:hAnsi="Times New Roman" w:cs="Times New Roman"/>
                <w:b/>
                <w:sz w:val="20"/>
                <w:szCs w:val="20"/>
              </w:rPr>
              <w:t>ICAAP</w:t>
            </w:r>
            <w:r w:rsidRPr="001B11AB">
              <w:rPr>
                <w:rFonts w:ascii="Times New Roman" w:hAnsi="Times New Roman" w:cs="Times New Roman"/>
                <w:b/>
                <w:sz w:val="20"/>
                <w:szCs w:val="20"/>
                <w:lang w:val="sr-Cyrl-CS"/>
              </w:rPr>
              <w:t xml:space="preserve"> примјењује банка само на појединачној основи, 2 – </w:t>
            </w:r>
            <w:r w:rsidRPr="001B11AB">
              <w:rPr>
                <w:rFonts w:ascii="Times New Roman" w:hAnsi="Times New Roman" w:cs="Times New Roman"/>
                <w:b/>
                <w:sz w:val="20"/>
                <w:szCs w:val="20"/>
              </w:rPr>
              <w:t>ICAAP</w:t>
            </w:r>
            <w:r w:rsidRPr="001B11AB">
              <w:rPr>
                <w:rFonts w:ascii="Times New Roman" w:hAnsi="Times New Roman" w:cs="Times New Roman"/>
                <w:b/>
                <w:sz w:val="20"/>
                <w:szCs w:val="20"/>
                <w:lang w:val="sr-Cyrl-CS"/>
              </w:rPr>
              <w:t xml:space="preserve"> се примјењуј</w:t>
            </w:r>
            <w:r w:rsidRPr="001B11AB">
              <w:rPr>
                <w:rFonts w:ascii="Times New Roman" w:hAnsi="Times New Roman" w:cs="Times New Roman"/>
                <w:b/>
                <w:sz w:val="20"/>
                <w:szCs w:val="20"/>
              </w:rPr>
              <w:t>e</w:t>
            </w:r>
            <w:r w:rsidRPr="001B11AB">
              <w:rPr>
                <w:rFonts w:ascii="Times New Roman" w:hAnsi="Times New Roman" w:cs="Times New Roman"/>
                <w:b/>
                <w:sz w:val="20"/>
                <w:szCs w:val="20"/>
                <w:lang w:val="ru-RU"/>
              </w:rPr>
              <w:t xml:space="preserve"> и на </w:t>
            </w:r>
            <w:r w:rsidRPr="001B11AB">
              <w:rPr>
                <w:rFonts w:ascii="Times New Roman" w:hAnsi="Times New Roman" w:cs="Times New Roman"/>
                <w:b/>
                <w:sz w:val="20"/>
                <w:szCs w:val="20"/>
                <w:lang w:val="sr-Cyrl-CS"/>
              </w:rPr>
              <w:t xml:space="preserve">консолидованој основи) </w:t>
            </w:r>
          </w:p>
        </w:tc>
        <w:tc>
          <w:tcPr>
            <w:tcW w:w="6521" w:type="dxa"/>
            <w:vAlign w:val="center"/>
          </w:tcPr>
          <w:p w14:paraId="3539EFE0" w14:textId="3F7EE30B" w:rsidR="00BF6A78" w:rsidRPr="001B11AB" w:rsidRDefault="00BF6A78"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 xml:space="preserve">[Унијети 1 ако банка примјењује </w:t>
            </w:r>
            <w:r w:rsidRPr="001B11AB">
              <w:rPr>
                <w:rFonts w:ascii="Times New Roman" w:hAnsi="Times New Roman" w:cs="Times New Roman"/>
                <w:i/>
                <w:sz w:val="20"/>
                <w:szCs w:val="20"/>
                <w:lang w:val="sr-Cyrl-CS"/>
              </w:rPr>
              <w:t xml:space="preserve">ICAAP само на појединачној основи, а 2 </w:t>
            </w:r>
            <w:r w:rsidRPr="001B11AB">
              <w:rPr>
                <w:rFonts w:ascii="Times New Roman" w:hAnsi="Times New Roman" w:cs="Times New Roman"/>
                <w:i/>
                <w:sz w:val="20"/>
                <w:szCs w:val="20"/>
                <w:lang w:val="ru-RU"/>
              </w:rPr>
              <w:t xml:space="preserve">ако банка примјењује </w:t>
            </w:r>
            <w:r w:rsidRPr="001B11AB">
              <w:rPr>
                <w:rFonts w:ascii="Times New Roman" w:hAnsi="Times New Roman" w:cs="Times New Roman"/>
                <w:i/>
                <w:sz w:val="20"/>
                <w:szCs w:val="20"/>
                <w:lang w:val="sr-Cyrl-CS"/>
              </w:rPr>
              <w:t>ICAAP и на консолидованој основи.</w:t>
            </w:r>
          </w:p>
          <w:p w14:paraId="0AB42FFB" w14:textId="77777777" w:rsidR="00BF6A78" w:rsidRPr="001B11AB" w:rsidRDefault="00BF6A78"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 xml:space="preserve">Банка која примјењује ICAAP на консолидованој основи дужна је Агенцији доставити </w:t>
            </w:r>
            <w:r w:rsidR="006C44CF" w:rsidRPr="001B11AB">
              <w:rPr>
                <w:rFonts w:ascii="Times New Roman" w:hAnsi="Times New Roman" w:cs="Times New Roman"/>
                <w:i/>
                <w:sz w:val="20"/>
                <w:szCs w:val="20"/>
                <w:lang w:val="sr-Cyrl-CS"/>
              </w:rPr>
              <w:t>И</w:t>
            </w:r>
            <w:r w:rsidRPr="001B11AB">
              <w:rPr>
                <w:rFonts w:ascii="Times New Roman" w:hAnsi="Times New Roman" w:cs="Times New Roman"/>
                <w:i/>
                <w:sz w:val="20"/>
                <w:szCs w:val="20"/>
                <w:lang w:val="sr-Cyrl-CS"/>
              </w:rPr>
              <w:t>звјештај о ICAAP-у и на појединачној и на консолидованој основи, а уз извјештај који израђује на консолидованој основи банка доставља списак подређених друштава укључених у ICAAP.]</w:t>
            </w:r>
          </w:p>
          <w:p w14:paraId="3DA16E3A" w14:textId="77777777" w:rsidR="00F21ABA" w:rsidRPr="001B11AB" w:rsidRDefault="00F21ABA" w:rsidP="00A32860">
            <w:pPr>
              <w:jc w:val="both"/>
              <w:rPr>
                <w:rFonts w:ascii="Times New Roman" w:hAnsi="Times New Roman" w:cs="Times New Roman"/>
                <w:i/>
                <w:sz w:val="20"/>
                <w:szCs w:val="20"/>
                <w:lang w:val="sr-Cyrl-CS"/>
              </w:rPr>
            </w:pPr>
          </w:p>
          <w:p w14:paraId="750E69D4" w14:textId="7BD57226" w:rsidR="00BF6A78" w:rsidRPr="001B11AB" w:rsidRDefault="00F21ABA" w:rsidP="00702D9B">
            <w:pPr>
              <w:spacing w:after="60"/>
              <w:jc w:val="both"/>
              <w:rPr>
                <w:rFonts w:ascii="Times New Roman" w:hAnsi="Times New Roman" w:cs="Times New Roman"/>
                <w:i/>
                <w:sz w:val="20"/>
                <w:szCs w:val="20"/>
                <w:lang w:val="sr-Cyrl-CS"/>
              </w:rPr>
            </w:pPr>
            <w:r w:rsidRPr="001B11AB">
              <w:rPr>
                <w:rFonts w:ascii="Times New Roman" w:hAnsi="Times New Roman" w:cs="Times New Roman"/>
                <w:b/>
                <w:i/>
                <w:sz w:val="20"/>
                <w:szCs w:val="20"/>
                <w:lang w:val="sr-Cyrl-CS"/>
              </w:rPr>
              <w:t>Напомена:</w:t>
            </w:r>
            <w:r w:rsidRPr="001B11AB">
              <w:rPr>
                <w:rFonts w:ascii="Times New Roman" w:hAnsi="Times New Roman" w:cs="Times New Roman"/>
                <w:i/>
                <w:sz w:val="20"/>
                <w:szCs w:val="20"/>
                <w:lang w:val="sr-Cyrl-CS"/>
              </w:rPr>
              <w:t xml:space="preserve"> </w:t>
            </w:r>
            <w:r w:rsidR="002C70ED" w:rsidRPr="001B11AB">
              <w:rPr>
                <w:rFonts w:ascii="Times New Roman" w:hAnsi="Times New Roman" w:cs="Times New Roman"/>
                <w:i/>
                <w:sz w:val="20"/>
                <w:szCs w:val="20"/>
                <w:lang w:val="sr-Cyrl-CS"/>
              </w:rPr>
              <w:t>Б</w:t>
            </w:r>
            <w:r w:rsidR="00BF6A78" w:rsidRPr="001B11AB">
              <w:rPr>
                <w:rFonts w:ascii="Times New Roman" w:hAnsi="Times New Roman" w:cs="Times New Roman"/>
                <w:i/>
                <w:sz w:val="20"/>
                <w:szCs w:val="20"/>
                <w:lang w:val="sr-Cyrl-CS"/>
              </w:rPr>
              <w:t>анка у Извјештај</w:t>
            </w:r>
            <w:r w:rsidR="002C70ED" w:rsidRPr="001B11AB">
              <w:rPr>
                <w:rFonts w:ascii="Times New Roman" w:hAnsi="Times New Roman" w:cs="Times New Roman"/>
                <w:i/>
                <w:sz w:val="20"/>
                <w:szCs w:val="20"/>
                <w:lang w:val="sr-Cyrl-CS"/>
              </w:rPr>
              <w:t>у</w:t>
            </w:r>
            <w:r w:rsidR="00BF6A78" w:rsidRPr="001B11AB">
              <w:rPr>
                <w:rFonts w:ascii="Times New Roman" w:hAnsi="Times New Roman" w:cs="Times New Roman"/>
                <w:i/>
                <w:sz w:val="20"/>
                <w:szCs w:val="20"/>
                <w:lang w:val="sr-Cyrl-CS"/>
              </w:rPr>
              <w:t xml:space="preserve"> о ICAAP-у на консолидованој основи у свим осталим </w:t>
            </w:r>
            <w:r w:rsidR="000B5651" w:rsidRPr="001B11AB">
              <w:rPr>
                <w:rFonts w:ascii="Times New Roman" w:hAnsi="Times New Roman" w:cs="Times New Roman"/>
                <w:i/>
                <w:sz w:val="20"/>
                <w:szCs w:val="20"/>
                <w:lang w:val="sr-Cyrl-CS"/>
              </w:rPr>
              <w:t>дијеловима</w:t>
            </w:r>
            <w:r w:rsidR="00BF6A78" w:rsidRPr="001B11AB">
              <w:rPr>
                <w:rFonts w:ascii="Times New Roman" w:hAnsi="Times New Roman" w:cs="Times New Roman"/>
                <w:i/>
                <w:sz w:val="20"/>
                <w:szCs w:val="20"/>
                <w:lang w:val="sr-Cyrl-CS"/>
              </w:rPr>
              <w:t xml:space="preserve"> наводи податке на консолид</w:t>
            </w:r>
            <w:r w:rsidR="00BB434F" w:rsidRPr="001B11AB">
              <w:rPr>
                <w:rFonts w:ascii="Times New Roman" w:hAnsi="Times New Roman" w:cs="Times New Roman"/>
                <w:i/>
                <w:sz w:val="20"/>
                <w:szCs w:val="20"/>
                <w:lang w:val="sr-Cyrl-BA"/>
              </w:rPr>
              <w:t>ов</w:t>
            </w:r>
            <w:r w:rsidRPr="001B11AB">
              <w:rPr>
                <w:rFonts w:ascii="Times New Roman" w:hAnsi="Times New Roman" w:cs="Times New Roman"/>
                <w:i/>
                <w:sz w:val="20"/>
                <w:szCs w:val="20"/>
                <w:lang w:val="sr-Cyrl-CS"/>
              </w:rPr>
              <w:t xml:space="preserve">аној основи. </w:t>
            </w:r>
            <w:r w:rsidR="00BF6A78" w:rsidRPr="001B11AB">
              <w:rPr>
                <w:rFonts w:ascii="Times New Roman" w:hAnsi="Times New Roman" w:cs="Times New Roman"/>
                <w:i/>
                <w:sz w:val="20"/>
                <w:szCs w:val="20"/>
                <w:lang w:val="sr-Cyrl-CS"/>
              </w:rPr>
              <w:t xml:space="preserve">Уколико банка оцијени да из специфичних разлога нека од правних лица укључених у консолидацију нису </w:t>
            </w:r>
            <w:r w:rsidR="00A95F7D" w:rsidRPr="001B11AB">
              <w:rPr>
                <w:rFonts w:ascii="Times New Roman" w:hAnsi="Times New Roman" w:cs="Times New Roman"/>
                <w:i/>
                <w:sz w:val="20"/>
                <w:szCs w:val="20"/>
                <w:lang w:val="sr-Cyrl-CS"/>
              </w:rPr>
              <w:t xml:space="preserve">укључена у ICAAP </w:t>
            </w:r>
            <w:r w:rsidR="00BF6A78" w:rsidRPr="001B11AB">
              <w:rPr>
                <w:rFonts w:ascii="Times New Roman" w:hAnsi="Times New Roman" w:cs="Times New Roman"/>
                <w:i/>
                <w:sz w:val="20"/>
                <w:szCs w:val="20"/>
                <w:lang w:val="sr-Cyrl-CS"/>
              </w:rPr>
              <w:t xml:space="preserve">или нису </w:t>
            </w:r>
            <w:r w:rsidR="00A95F7D" w:rsidRPr="001B11AB">
              <w:rPr>
                <w:rFonts w:ascii="Times New Roman" w:hAnsi="Times New Roman" w:cs="Times New Roman"/>
                <w:i/>
                <w:sz w:val="20"/>
                <w:szCs w:val="20"/>
                <w:lang w:val="sr-Cyrl-CS"/>
              </w:rPr>
              <w:t xml:space="preserve">укључена </w:t>
            </w:r>
            <w:r w:rsidR="00BF6A78" w:rsidRPr="001B11AB">
              <w:rPr>
                <w:rFonts w:ascii="Times New Roman" w:hAnsi="Times New Roman" w:cs="Times New Roman"/>
                <w:i/>
                <w:sz w:val="20"/>
                <w:szCs w:val="20"/>
                <w:lang w:val="sr-Cyrl-CS"/>
              </w:rPr>
              <w:t>на адекватан начин (нпр. правно лице које би банка требал</w:t>
            </w:r>
            <w:r w:rsidR="00FA709C" w:rsidRPr="001B11AB">
              <w:rPr>
                <w:rFonts w:ascii="Times New Roman" w:hAnsi="Times New Roman" w:cs="Times New Roman"/>
                <w:i/>
                <w:sz w:val="20"/>
                <w:szCs w:val="20"/>
                <w:lang w:val="sr-Cyrl-CS"/>
              </w:rPr>
              <w:t>о да укључи</w:t>
            </w:r>
            <w:r w:rsidR="00BF6A78" w:rsidRPr="001B11AB">
              <w:rPr>
                <w:rFonts w:ascii="Times New Roman" w:hAnsi="Times New Roman" w:cs="Times New Roman"/>
                <w:i/>
                <w:sz w:val="20"/>
                <w:szCs w:val="20"/>
                <w:lang w:val="sr-Cyrl-CS"/>
              </w:rPr>
              <w:t xml:space="preserve"> у Извјештај о ICAAP-у на консолидованој основи још увијек није успоставило ICAAP или није доставило комплетне, довољне или поуздане информације о елементима ICAAP-а банци која је дужна да сачини извјештај)</w:t>
            </w:r>
            <w:r w:rsidR="00FA709C" w:rsidRPr="001B11AB">
              <w:rPr>
                <w:rFonts w:ascii="Times New Roman" w:hAnsi="Times New Roman" w:cs="Times New Roman"/>
                <w:i/>
                <w:sz w:val="20"/>
                <w:szCs w:val="20"/>
                <w:lang w:val="sr-Cyrl-CS"/>
              </w:rPr>
              <w:t>,</w:t>
            </w:r>
            <w:r w:rsidR="00BF6A78" w:rsidRPr="001B11AB">
              <w:rPr>
                <w:rFonts w:ascii="Times New Roman" w:hAnsi="Times New Roman" w:cs="Times New Roman"/>
                <w:i/>
                <w:sz w:val="20"/>
                <w:szCs w:val="20"/>
                <w:lang w:val="sr-Cyrl-CS"/>
              </w:rPr>
              <w:t xml:space="preserve"> потребно је да наведе те разлоге, са припадајућим објашњењима и планираним мјерама и роковима отклањања тих недостатака у сврху потпуног и тачног извјештавања о примјени ICAAP-а на консолидованој основ</w:t>
            </w:r>
            <w:r w:rsidR="00702D9B" w:rsidRPr="001B11AB">
              <w:rPr>
                <w:rFonts w:ascii="Times New Roman" w:hAnsi="Times New Roman" w:cs="Times New Roman"/>
                <w:i/>
                <w:sz w:val="20"/>
                <w:szCs w:val="20"/>
                <w:lang w:val="sr-Cyrl-CS"/>
              </w:rPr>
              <w:t>и</w:t>
            </w:r>
            <w:r w:rsidR="00BF6A78" w:rsidRPr="001B11AB">
              <w:rPr>
                <w:rFonts w:ascii="Times New Roman" w:hAnsi="Times New Roman" w:cs="Times New Roman"/>
                <w:i/>
                <w:sz w:val="20"/>
                <w:szCs w:val="20"/>
                <w:lang w:val="sr-Cyrl-CS"/>
              </w:rPr>
              <w:t xml:space="preserve"> за ту банкарску групу.</w:t>
            </w:r>
          </w:p>
        </w:tc>
      </w:tr>
    </w:tbl>
    <w:p w14:paraId="018362A5" w14:textId="77777777" w:rsidR="00BF6A78" w:rsidRPr="001B11AB" w:rsidRDefault="00BF6A78" w:rsidP="00897F23">
      <w:pPr>
        <w:spacing w:after="0" w:line="240" w:lineRule="auto"/>
        <w:jc w:val="both"/>
        <w:rPr>
          <w:rFonts w:ascii="Times New Roman" w:hAnsi="Times New Roman" w:cs="Times New Roman"/>
          <w:lang w:val="sr-Cyrl-BA"/>
        </w:rPr>
      </w:pPr>
    </w:p>
    <w:tbl>
      <w:tblPr>
        <w:tblStyle w:val="TableGrid"/>
        <w:tblW w:w="9464" w:type="dxa"/>
        <w:tblLook w:val="04A0" w:firstRow="1" w:lastRow="0" w:firstColumn="1" w:lastColumn="0" w:noHBand="0" w:noVBand="1"/>
      </w:tblPr>
      <w:tblGrid>
        <w:gridCol w:w="9464"/>
      </w:tblGrid>
      <w:tr w:rsidR="005C6636" w:rsidRPr="001B11AB" w14:paraId="53B3020D" w14:textId="77777777" w:rsidTr="001824A7">
        <w:tc>
          <w:tcPr>
            <w:tcW w:w="9464" w:type="dxa"/>
            <w:tcBorders>
              <w:bottom w:val="single" w:sz="4" w:space="0" w:color="auto"/>
            </w:tcBorders>
            <w:shd w:val="clear" w:color="auto" w:fill="D9D9D9" w:themeFill="background1" w:themeFillShade="D9"/>
          </w:tcPr>
          <w:p w14:paraId="286C0971" w14:textId="77777777" w:rsidR="00BF6A78" w:rsidRPr="001B11AB" w:rsidRDefault="00BF6A78" w:rsidP="00897F23">
            <w:pPr>
              <w:spacing w:after="60"/>
              <w:rPr>
                <w:rFonts w:ascii="Times New Roman" w:hAnsi="Times New Roman" w:cs="Times New Roman"/>
                <w:sz w:val="20"/>
                <w:szCs w:val="20"/>
                <w:lang w:val="sr-Cyrl-BA"/>
              </w:rPr>
            </w:pPr>
            <w:r w:rsidRPr="001B11AB">
              <w:rPr>
                <w:rFonts w:ascii="Times New Roman" w:hAnsi="Times New Roman" w:cs="Times New Roman"/>
                <w:b/>
                <w:sz w:val="20"/>
                <w:szCs w:val="20"/>
                <w:lang w:val="ru-RU"/>
              </w:rPr>
              <w:t xml:space="preserve">1.2. </w:t>
            </w:r>
            <w:r w:rsidRPr="001B11AB">
              <w:rPr>
                <w:rFonts w:ascii="Times New Roman" w:hAnsi="Times New Roman" w:cs="Times New Roman"/>
                <w:b/>
                <w:sz w:val="20"/>
                <w:szCs w:val="20"/>
                <w:lang w:val="sr-Cyrl-BA"/>
              </w:rPr>
              <w:t>Пословни модел и стратегија банке</w:t>
            </w:r>
          </w:p>
        </w:tc>
      </w:tr>
      <w:tr w:rsidR="005C6636" w:rsidRPr="001B11AB" w14:paraId="7A7357B7" w14:textId="77777777" w:rsidTr="006F4726">
        <w:tc>
          <w:tcPr>
            <w:tcW w:w="9464" w:type="dxa"/>
            <w:shd w:val="clear" w:color="auto" w:fill="auto"/>
          </w:tcPr>
          <w:p w14:paraId="15629570" w14:textId="16183E10" w:rsidR="00BF6A78" w:rsidRPr="001B11AB" w:rsidRDefault="00BF6A78"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описује </w:t>
            </w:r>
            <w:r w:rsidR="00702D9B" w:rsidRPr="001B11AB">
              <w:rPr>
                <w:rFonts w:ascii="Times New Roman" w:hAnsi="Times New Roman" w:cs="Times New Roman"/>
                <w:i/>
                <w:sz w:val="20"/>
                <w:szCs w:val="20"/>
                <w:lang w:val="sr-Cyrl-CS"/>
              </w:rPr>
              <w:t xml:space="preserve">свој </w:t>
            </w:r>
            <w:r w:rsidRPr="001B11AB">
              <w:rPr>
                <w:rFonts w:ascii="Times New Roman" w:hAnsi="Times New Roman" w:cs="Times New Roman"/>
                <w:i/>
                <w:sz w:val="20"/>
                <w:szCs w:val="20"/>
                <w:lang w:val="sr-Cyrl-CS"/>
              </w:rPr>
              <w:t>пословни модел и тренутно финансијско стање на извјештајни датум.</w:t>
            </w:r>
          </w:p>
          <w:p w14:paraId="020BAA48" w14:textId="3B1199D2" w:rsidR="00BF6A78" w:rsidRPr="001B11AB" w:rsidRDefault="00BF6A78"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Потребно је да банка на адекватан начин објасни свој пословни модел, укључујући главне пословне линије, клијенте банке, производ</w:t>
            </w:r>
            <w:r w:rsidR="00B95BF1" w:rsidRPr="001B11AB">
              <w:rPr>
                <w:rFonts w:ascii="Times New Roman" w:hAnsi="Times New Roman" w:cs="Times New Roman"/>
                <w:i/>
                <w:sz w:val="20"/>
                <w:szCs w:val="20"/>
                <w:lang w:val="sr-Cyrl-CS"/>
              </w:rPr>
              <w:t>е</w:t>
            </w:r>
            <w:r w:rsidRPr="001B11AB">
              <w:rPr>
                <w:rFonts w:ascii="Times New Roman" w:hAnsi="Times New Roman" w:cs="Times New Roman"/>
                <w:i/>
                <w:sz w:val="20"/>
                <w:szCs w:val="20"/>
                <w:lang w:val="sr-Cyrl-CS"/>
              </w:rPr>
              <w:t xml:space="preserve"> које нуди, географска подручја на којима послује, преглед подређених друштава (уколико је примјењиво) и слично. </w:t>
            </w:r>
          </w:p>
          <w:p w14:paraId="14902F4D" w14:textId="1332493F" w:rsidR="00BF6A78" w:rsidRPr="001B11AB" w:rsidRDefault="00BF6A78"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Cyrl-CS"/>
              </w:rPr>
              <w:t xml:space="preserve">Потребно је да банка наведе кључне показатеље пословања, односно профитабилности које прати (нпр. </w:t>
            </w:r>
            <w:r w:rsidRPr="001B11AB">
              <w:rPr>
                <w:rFonts w:ascii="Times New Roman" w:hAnsi="Times New Roman" w:cs="Times New Roman"/>
                <w:i/>
                <w:sz w:val="20"/>
                <w:szCs w:val="20"/>
                <w:lang w:val="sr-Cyrl-BA"/>
              </w:rPr>
              <w:t xml:space="preserve">добит, главне изворе прихода и расхода, </w:t>
            </w:r>
            <w:r w:rsidRPr="001B11AB">
              <w:rPr>
                <w:rFonts w:ascii="Times New Roman" w:hAnsi="Times New Roman" w:cs="Times New Roman"/>
                <w:i/>
                <w:sz w:val="20"/>
                <w:szCs w:val="20"/>
                <w:lang w:val="sr-Latn-BA"/>
              </w:rPr>
              <w:t>ROA, ROE, CIR</w:t>
            </w:r>
            <w:r w:rsidRPr="001B11AB">
              <w:rPr>
                <w:rFonts w:ascii="Times New Roman" w:hAnsi="Times New Roman" w:cs="Times New Roman"/>
                <w:i/>
                <w:sz w:val="20"/>
                <w:szCs w:val="20"/>
                <w:lang w:val="sr-Cyrl-BA"/>
              </w:rPr>
              <w:t xml:space="preserve"> и слично)</w:t>
            </w:r>
            <w:r w:rsidR="00702D9B" w:rsidRPr="001B11AB">
              <w:rPr>
                <w:rFonts w:ascii="Times New Roman" w:hAnsi="Times New Roman" w:cs="Times New Roman"/>
                <w:i/>
                <w:sz w:val="20"/>
                <w:szCs w:val="20"/>
                <w:lang w:val="sr-Cyrl-BA"/>
              </w:rPr>
              <w:t>,</w:t>
            </w:r>
            <w:r w:rsidRPr="001B11AB">
              <w:rPr>
                <w:rFonts w:ascii="Times New Roman" w:hAnsi="Times New Roman" w:cs="Times New Roman"/>
                <w:i/>
                <w:sz w:val="20"/>
                <w:szCs w:val="20"/>
                <w:lang w:val="sr-Cyrl-BA"/>
              </w:rPr>
              <w:t xml:space="preserve"> уз одговарајућа објашњења. Такође, потребно је да банка опише на који начин прати показатеље профитабилности по пословним лини</w:t>
            </w:r>
            <w:r w:rsidR="00702D9B" w:rsidRPr="001B11AB">
              <w:rPr>
                <w:rFonts w:ascii="Times New Roman" w:hAnsi="Times New Roman" w:cs="Times New Roman"/>
                <w:i/>
                <w:sz w:val="20"/>
                <w:szCs w:val="20"/>
                <w:lang w:val="sr-Cyrl-BA"/>
              </w:rPr>
              <w:t>јама, профитним/трошковним цент</w:t>
            </w:r>
            <w:r w:rsidRPr="001B11AB">
              <w:rPr>
                <w:rFonts w:ascii="Times New Roman" w:hAnsi="Times New Roman" w:cs="Times New Roman"/>
                <w:i/>
                <w:sz w:val="20"/>
                <w:szCs w:val="20"/>
                <w:lang w:val="sr-Cyrl-BA"/>
              </w:rPr>
              <w:t>рима и слично.</w:t>
            </w:r>
            <w:r w:rsidRPr="001B11AB">
              <w:rPr>
                <w:rFonts w:ascii="Times New Roman" w:hAnsi="Times New Roman" w:cs="Times New Roman"/>
                <w:i/>
                <w:sz w:val="20"/>
                <w:szCs w:val="20"/>
                <w:lang w:val="sr-Cyrl-CS"/>
              </w:rPr>
              <w:t>]</w:t>
            </w:r>
          </w:p>
        </w:tc>
      </w:tr>
      <w:tr w:rsidR="005C6636" w:rsidRPr="001B11AB" w14:paraId="2DB13602" w14:textId="77777777" w:rsidTr="006F4726">
        <w:tc>
          <w:tcPr>
            <w:tcW w:w="9464" w:type="dxa"/>
            <w:shd w:val="clear" w:color="auto" w:fill="auto"/>
          </w:tcPr>
          <w:p w14:paraId="35F907E9" w14:textId="0754A96C" w:rsidR="00BF6A78" w:rsidRPr="001B11AB" w:rsidRDefault="00BF6A78" w:rsidP="002919AC">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опис </w:t>
            </w:r>
            <w:r w:rsidR="002919AC" w:rsidRPr="001B11AB">
              <w:rPr>
                <w:rFonts w:ascii="Times New Roman" w:hAnsi="Times New Roman" w:cs="Times New Roman"/>
                <w:i/>
                <w:sz w:val="20"/>
                <w:szCs w:val="20"/>
                <w:lang w:val="sr-Cyrl-CS"/>
              </w:rPr>
              <w:t xml:space="preserve">своје </w:t>
            </w:r>
            <w:r w:rsidRPr="001B11AB">
              <w:rPr>
                <w:rFonts w:ascii="Times New Roman" w:hAnsi="Times New Roman" w:cs="Times New Roman"/>
                <w:i/>
                <w:sz w:val="20"/>
                <w:szCs w:val="20"/>
                <w:lang w:val="sr-Cyrl-CS"/>
              </w:rPr>
              <w:t xml:space="preserve">стратегије </w:t>
            </w:r>
            <w:r w:rsidR="002919AC" w:rsidRPr="001B11AB">
              <w:rPr>
                <w:rFonts w:ascii="Times New Roman" w:hAnsi="Times New Roman" w:cs="Times New Roman"/>
                <w:i/>
                <w:sz w:val="20"/>
                <w:szCs w:val="20"/>
                <w:lang w:val="sr-Cyrl-CS"/>
              </w:rPr>
              <w:t>и пословних планова</w:t>
            </w:r>
            <w:r w:rsidRPr="001B11AB">
              <w:rPr>
                <w:rFonts w:ascii="Times New Roman" w:hAnsi="Times New Roman" w:cs="Times New Roman"/>
                <w:i/>
                <w:sz w:val="20"/>
                <w:szCs w:val="20"/>
                <w:lang w:val="sr-Cyrl-CS"/>
              </w:rPr>
              <w:t>, укључујући опис планираних промјена постојећег пословног модела и активности које планира провести у погледу оперативних промјена (нпр. ИТ инфраструктуре) или структуре управљања банком. Банка наводи и пројекције кључних показатеља пословања и профитабилности, као и финансијске пројекције на нивоу банке и кључних пословних линија. Такође, потребно је да банка објасни на који начин је приликом сачињавања стратегије и планова узела у об</w:t>
            </w:r>
            <w:r w:rsidR="002919AC" w:rsidRPr="001B11AB">
              <w:rPr>
                <w:rFonts w:ascii="Times New Roman" w:hAnsi="Times New Roman" w:cs="Times New Roman"/>
                <w:i/>
                <w:sz w:val="20"/>
                <w:szCs w:val="20"/>
                <w:lang w:val="sr-Cyrl-CS"/>
              </w:rPr>
              <w:t>з</w:t>
            </w:r>
            <w:r w:rsidRPr="001B11AB">
              <w:rPr>
                <w:rFonts w:ascii="Times New Roman" w:hAnsi="Times New Roman" w:cs="Times New Roman"/>
                <w:i/>
                <w:sz w:val="20"/>
                <w:szCs w:val="20"/>
                <w:lang w:val="sr-Cyrl-CS"/>
              </w:rPr>
              <w:t>ир очекиване промјене у пословном окружењу, те да детаљно образложи на који начин врши анализу снага, слабости, шанси и пријетњи банке у односу на друге банке које послују на истом тржишту.]</w:t>
            </w:r>
          </w:p>
        </w:tc>
      </w:tr>
      <w:tr w:rsidR="005C6636" w:rsidRPr="001B11AB" w14:paraId="61B9DE68" w14:textId="77777777" w:rsidTr="006F4726">
        <w:tc>
          <w:tcPr>
            <w:tcW w:w="9464" w:type="dxa"/>
            <w:shd w:val="clear" w:color="auto" w:fill="auto"/>
          </w:tcPr>
          <w:p w14:paraId="0271C5B2" w14:textId="16D4A9C7" w:rsidR="00BF6A78" w:rsidRPr="001B11AB" w:rsidRDefault="00BF6A78" w:rsidP="002919AC">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опис повезаности </w:t>
            </w:r>
            <w:r w:rsidR="002919AC" w:rsidRPr="001B11AB">
              <w:rPr>
                <w:rFonts w:ascii="Times New Roman" w:hAnsi="Times New Roman" w:cs="Times New Roman"/>
                <w:i/>
                <w:sz w:val="20"/>
                <w:szCs w:val="20"/>
                <w:lang w:val="sr-Cyrl-CS"/>
              </w:rPr>
              <w:t xml:space="preserve">своје </w:t>
            </w:r>
            <w:r w:rsidRPr="001B11AB">
              <w:rPr>
                <w:rFonts w:ascii="Times New Roman" w:hAnsi="Times New Roman" w:cs="Times New Roman"/>
                <w:i/>
                <w:sz w:val="20"/>
                <w:szCs w:val="20"/>
                <w:lang w:val="sr-Cyrl-CS"/>
              </w:rPr>
              <w:t xml:space="preserve">пословне стратегије са стратегијом преузимања и управљања ризицима, ICAAP-ом и ILAAP-ом.] </w:t>
            </w:r>
          </w:p>
        </w:tc>
      </w:tr>
      <w:tr w:rsidR="005C6636" w:rsidRPr="001B11AB" w14:paraId="44F3247A" w14:textId="77777777" w:rsidTr="00E92210">
        <w:tc>
          <w:tcPr>
            <w:tcW w:w="9464" w:type="dxa"/>
            <w:shd w:val="clear" w:color="auto" w:fill="F2F2F2" w:themeFill="background1" w:themeFillShade="F2"/>
          </w:tcPr>
          <w:p w14:paraId="32962416" w14:textId="2A3647BF" w:rsidR="00BF6A78" w:rsidRPr="001B11AB" w:rsidRDefault="00BF6A78" w:rsidP="00E562F2">
            <w:pPr>
              <w:pStyle w:val="Default"/>
              <w:spacing w:after="60"/>
              <w:jc w:val="both"/>
              <w:rPr>
                <w:rFonts w:ascii="Times New Roman" w:hAnsi="Times New Roman" w:cs="Times New Roman"/>
                <w:i/>
                <w:color w:val="auto"/>
                <w:sz w:val="20"/>
                <w:szCs w:val="20"/>
                <w:lang w:val="sr-Cyrl-BA"/>
              </w:rPr>
            </w:pPr>
            <w:r w:rsidRPr="001B11AB">
              <w:rPr>
                <w:rFonts w:ascii="Times New Roman" w:hAnsi="Times New Roman" w:cs="Times New Roman"/>
                <w:b/>
                <w:i/>
                <w:color w:val="auto"/>
                <w:sz w:val="20"/>
                <w:szCs w:val="20"/>
                <w:lang w:val="ru-RU"/>
              </w:rPr>
              <w:t>Напомена:</w:t>
            </w:r>
            <w:r w:rsidRPr="001B11AB">
              <w:rPr>
                <w:rFonts w:ascii="Times New Roman" w:hAnsi="Times New Roman" w:cs="Times New Roman"/>
                <w:i/>
                <w:color w:val="auto"/>
                <w:sz w:val="20"/>
                <w:szCs w:val="20"/>
                <w:lang w:val="ru-RU"/>
              </w:rPr>
              <w:t xml:space="preserve"> </w:t>
            </w:r>
            <w:r w:rsidR="00E562F2" w:rsidRPr="001B11AB">
              <w:rPr>
                <w:rFonts w:ascii="Times New Roman" w:hAnsi="Times New Roman" w:cs="Times New Roman"/>
                <w:i/>
                <w:color w:val="auto"/>
                <w:sz w:val="20"/>
                <w:szCs w:val="20"/>
                <w:lang w:val="ru-RU"/>
              </w:rPr>
              <w:t>Б</w:t>
            </w:r>
            <w:r w:rsidRPr="001B11AB">
              <w:rPr>
                <w:rFonts w:ascii="Times New Roman" w:hAnsi="Times New Roman" w:cs="Times New Roman"/>
                <w:i/>
                <w:color w:val="auto"/>
                <w:sz w:val="20"/>
                <w:szCs w:val="20"/>
                <w:lang w:val="ru-RU"/>
              </w:rPr>
              <w:t xml:space="preserve">анка уз Извјештај о ICAAP-у доставља сву пратећу документацију потребну за разумијевање пословног модела и стратегије банке, </w:t>
            </w:r>
            <w:r w:rsidR="00215C91" w:rsidRPr="001B11AB">
              <w:rPr>
                <w:rFonts w:ascii="Times New Roman" w:hAnsi="Times New Roman" w:cs="Times New Roman"/>
                <w:i/>
                <w:color w:val="auto"/>
                <w:sz w:val="20"/>
                <w:szCs w:val="20"/>
                <w:lang w:val="ru-RU"/>
              </w:rPr>
              <w:t>и то</w:t>
            </w:r>
            <w:r w:rsidR="00E700C8">
              <w:rPr>
                <w:rFonts w:ascii="Times New Roman" w:hAnsi="Times New Roman" w:cs="Times New Roman"/>
                <w:i/>
                <w:color w:val="auto"/>
                <w:sz w:val="20"/>
                <w:szCs w:val="20"/>
                <w:lang w:val="ru-RU"/>
              </w:rPr>
              <w:t>:</w:t>
            </w:r>
            <w:r w:rsidRPr="001B11AB">
              <w:rPr>
                <w:rFonts w:ascii="Times New Roman" w:hAnsi="Times New Roman" w:cs="Times New Roman"/>
                <w:i/>
                <w:color w:val="auto"/>
                <w:sz w:val="20"/>
                <w:szCs w:val="20"/>
                <w:lang w:val="ru-RU"/>
              </w:rPr>
              <w:t xml:space="preserve"> </w:t>
            </w:r>
            <w:r w:rsidR="006C44CF" w:rsidRPr="001B11AB">
              <w:rPr>
                <w:rFonts w:ascii="Times New Roman" w:hAnsi="Times New Roman" w:cs="Times New Roman"/>
                <w:i/>
                <w:color w:val="auto"/>
                <w:sz w:val="20"/>
                <w:szCs w:val="20"/>
                <w:lang w:val="ru-RU"/>
              </w:rPr>
              <w:t>с</w:t>
            </w:r>
            <w:r w:rsidRPr="001B11AB">
              <w:rPr>
                <w:rFonts w:ascii="Times New Roman" w:hAnsi="Times New Roman" w:cs="Times New Roman"/>
                <w:i/>
                <w:color w:val="auto"/>
                <w:sz w:val="20"/>
                <w:szCs w:val="20"/>
                <w:lang w:val="ru-RU"/>
              </w:rPr>
              <w:t xml:space="preserve">тратегију банке, пословне планове, </w:t>
            </w:r>
            <w:r w:rsidR="006C44CF" w:rsidRPr="001B11AB">
              <w:rPr>
                <w:rFonts w:ascii="Times New Roman" w:hAnsi="Times New Roman" w:cs="Times New Roman"/>
                <w:i/>
                <w:color w:val="auto"/>
                <w:sz w:val="20"/>
                <w:szCs w:val="20"/>
                <w:lang w:val="ru-RU"/>
              </w:rPr>
              <w:t>с</w:t>
            </w:r>
            <w:r w:rsidRPr="001B11AB">
              <w:rPr>
                <w:rFonts w:ascii="Times New Roman" w:hAnsi="Times New Roman" w:cs="Times New Roman"/>
                <w:i/>
                <w:color w:val="auto"/>
                <w:sz w:val="20"/>
                <w:szCs w:val="20"/>
                <w:lang w:val="ru-RU"/>
              </w:rPr>
              <w:t>тратегију преузимања и управљања ризицима, буџет, тј. пројекције биланса успјеха по пословним линијама, профитним/</w:t>
            </w:r>
            <w:r w:rsidR="00B95BF1" w:rsidRPr="001B11AB">
              <w:rPr>
                <w:rFonts w:ascii="Times New Roman" w:hAnsi="Times New Roman" w:cs="Times New Roman"/>
                <w:i/>
                <w:color w:val="auto"/>
                <w:sz w:val="20"/>
                <w:szCs w:val="20"/>
                <w:lang w:val="ru-RU"/>
              </w:rPr>
              <w:t xml:space="preserve"> </w:t>
            </w:r>
            <w:r w:rsidRPr="001B11AB">
              <w:rPr>
                <w:rFonts w:ascii="Times New Roman" w:hAnsi="Times New Roman" w:cs="Times New Roman"/>
                <w:i/>
                <w:color w:val="auto"/>
                <w:sz w:val="20"/>
                <w:szCs w:val="20"/>
                <w:lang w:val="ru-RU"/>
              </w:rPr>
              <w:t xml:space="preserve">трошковним центрима, као и документацију којом се доказује начин праћења реализације истих, </w:t>
            </w:r>
            <w:r w:rsidR="00F21ABA" w:rsidRPr="001B11AB">
              <w:rPr>
                <w:rFonts w:ascii="Times New Roman" w:hAnsi="Times New Roman" w:cs="Times New Roman"/>
                <w:i/>
                <w:color w:val="auto"/>
                <w:sz w:val="20"/>
                <w:szCs w:val="20"/>
                <w:lang w:val="ru-RU"/>
              </w:rPr>
              <w:t>П</w:t>
            </w:r>
            <w:r w:rsidRPr="001B11AB">
              <w:rPr>
                <w:rFonts w:ascii="Times New Roman" w:hAnsi="Times New Roman" w:cs="Times New Roman"/>
                <w:i/>
                <w:color w:val="auto"/>
                <w:sz w:val="20"/>
                <w:szCs w:val="20"/>
                <w:lang w:val="ru-RU"/>
              </w:rPr>
              <w:t>равилник о организацији и систематизацији радних мјеста, укључујући органиграм, податке о развоју стратегија банке</w:t>
            </w:r>
            <w:r w:rsidRPr="001B11AB">
              <w:rPr>
                <w:rFonts w:ascii="Times New Roman" w:hAnsi="Times New Roman" w:cs="Times New Roman"/>
                <w:i/>
                <w:color w:val="auto"/>
                <w:sz w:val="20"/>
                <w:szCs w:val="20"/>
                <w:lang w:val="sr-Cyrl-BA"/>
              </w:rPr>
              <w:t xml:space="preserve"> (</w:t>
            </w:r>
            <w:r w:rsidRPr="001B11AB">
              <w:rPr>
                <w:rFonts w:ascii="Times New Roman" w:hAnsi="Times New Roman" w:cs="Times New Roman"/>
                <w:i/>
                <w:color w:val="auto"/>
                <w:sz w:val="20"/>
                <w:szCs w:val="20"/>
                <w:lang w:val="ru-RU"/>
              </w:rPr>
              <w:t>документ</w:t>
            </w:r>
            <w:r w:rsidRPr="001B11AB">
              <w:rPr>
                <w:rFonts w:ascii="Times New Roman" w:hAnsi="Times New Roman" w:cs="Times New Roman"/>
                <w:i/>
                <w:color w:val="auto"/>
                <w:sz w:val="20"/>
                <w:szCs w:val="20"/>
                <w:lang w:val="sr-Cyrl-BA"/>
              </w:rPr>
              <w:t>е</w:t>
            </w:r>
            <w:r w:rsidRPr="001B11AB">
              <w:rPr>
                <w:rFonts w:ascii="Times New Roman" w:hAnsi="Times New Roman" w:cs="Times New Roman"/>
                <w:i/>
                <w:color w:val="auto"/>
                <w:sz w:val="20"/>
                <w:szCs w:val="20"/>
                <w:lang w:val="ru-RU"/>
              </w:rPr>
              <w:t xml:space="preserve"> и записни</w:t>
            </w:r>
            <w:r w:rsidRPr="001B11AB">
              <w:rPr>
                <w:rFonts w:ascii="Times New Roman" w:hAnsi="Times New Roman" w:cs="Times New Roman"/>
                <w:i/>
                <w:color w:val="auto"/>
                <w:sz w:val="20"/>
                <w:szCs w:val="20"/>
                <w:lang w:val="sr-Cyrl-BA"/>
              </w:rPr>
              <w:t>ке</w:t>
            </w:r>
            <w:r w:rsidRPr="001B11AB">
              <w:rPr>
                <w:rFonts w:ascii="Times New Roman" w:hAnsi="Times New Roman" w:cs="Times New Roman"/>
                <w:i/>
                <w:color w:val="auto"/>
                <w:sz w:val="20"/>
                <w:szCs w:val="20"/>
                <w:lang w:val="ru-RU"/>
              </w:rPr>
              <w:t xml:space="preserve"> са сједница управе и надзорног одбора, документ</w:t>
            </w:r>
            <w:r w:rsidRPr="001B11AB">
              <w:rPr>
                <w:rFonts w:ascii="Times New Roman" w:hAnsi="Times New Roman" w:cs="Times New Roman"/>
                <w:i/>
                <w:color w:val="auto"/>
                <w:sz w:val="20"/>
                <w:szCs w:val="20"/>
                <w:lang w:val="sr-Cyrl-BA"/>
              </w:rPr>
              <w:t>е</w:t>
            </w:r>
            <w:r w:rsidRPr="001B11AB">
              <w:rPr>
                <w:rFonts w:ascii="Times New Roman" w:hAnsi="Times New Roman" w:cs="Times New Roman"/>
                <w:i/>
                <w:color w:val="auto"/>
                <w:sz w:val="20"/>
                <w:szCs w:val="20"/>
                <w:lang w:val="ru-RU"/>
              </w:rPr>
              <w:t xml:space="preserve"> у вези са стратешким анализама и повезан</w:t>
            </w:r>
            <w:r w:rsidRPr="001B11AB">
              <w:rPr>
                <w:rFonts w:ascii="Times New Roman" w:hAnsi="Times New Roman" w:cs="Times New Roman"/>
                <w:i/>
                <w:color w:val="auto"/>
                <w:sz w:val="20"/>
                <w:szCs w:val="20"/>
                <w:lang w:val="sr-Cyrl-BA"/>
              </w:rPr>
              <w:t>у</w:t>
            </w:r>
            <w:r w:rsidRPr="001B11AB">
              <w:rPr>
                <w:rFonts w:ascii="Times New Roman" w:hAnsi="Times New Roman" w:cs="Times New Roman"/>
                <w:i/>
                <w:color w:val="auto"/>
                <w:sz w:val="20"/>
                <w:szCs w:val="20"/>
                <w:lang w:val="ru-RU"/>
              </w:rPr>
              <w:t xml:space="preserve"> документациј</w:t>
            </w:r>
            <w:r w:rsidRPr="001B11AB">
              <w:rPr>
                <w:rFonts w:ascii="Times New Roman" w:hAnsi="Times New Roman" w:cs="Times New Roman"/>
                <w:i/>
                <w:color w:val="auto"/>
                <w:sz w:val="20"/>
                <w:szCs w:val="20"/>
                <w:lang w:val="sr-Cyrl-BA"/>
              </w:rPr>
              <w:t>у), доказ да банка приликом ревидирања стратегије и пословних планова узима у обзир резултате</w:t>
            </w:r>
            <w:r w:rsidR="00D51513" w:rsidRPr="001B11AB">
              <w:rPr>
                <w:rFonts w:ascii="Times New Roman" w:hAnsi="Times New Roman" w:cs="Times New Roman"/>
                <w:i/>
                <w:color w:val="auto"/>
                <w:sz w:val="20"/>
                <w:szCs w:val="20"/>
                <w:lang w:val="sr-Cyrl-BA"/>
              </w:rPr>
              <w:t xml:space="preserve"> </w:t>
            </w:r>
            <w:r w:rsidRPr="001B11AB">
              <w:rPr>
                <w:rFonts w:ascii="Times New Roman" w:hAnsi="Times New Roman" w:cs="Times New Roman"/>
                <w:i/>
                <w:color w:val="auto"/>
                <w:sz w:val="20"/>
                <w:szCs w:val="20"/>
                <w:lang w:val="ru-RU"/>
              </w:rPr>
              <w:t>ICAAP-а</w:t>
            </w:r>
            <w:r w:rsidR="00D51513" w:rsidRPr="001B11AB">
              <w:rPr>
                <w:rFonts w:ascii="Times New Roman" w:hAnsi="Times New Roman" w:cs="Times New Roman"/>
                <w:i/>
                <w:color w:val="auto"/>
                <w:sz w:val="20"/>
                <w:szCs w:val="20"/>
                <w:lang w:val="ru-RU"/>
              </w:rPr>
              <w:t xml:space="preserve"> </w:t>
            </w:r>
            <w:r w:rsidRPr="001B11AB">
              <w:rPr>
                <w:rFonts w:ascii="Times New Roman" w:hAnsi="Times New Roman" w:cs="Times New Roman"/>
                <w:i/>
                <w:color w:val="auto"/>
                <w:sz w:val="20"/>
                <w:szCs w:val="20"/>
                <w:lang w:val="sr-Cyrl-BA"/>
              </w:rPr>
              <w:t>и слично</w:t>
            </w:r>
            <w:r w:rsidRPr="001B11AB">
              <w:rPr>
                <w:rFonts w:ascii="Times New Roman" w:hAnsi="Times New Roman" w:cs="Times New Roman"/>
                <w:i/>
                <w:color w:val="auto"/>
                <w:sz w:val="20"/>
                <w:szCs w:val="20"/>
                <w:lang w:val="ru-RU"/>
              </w:rPr>
              <w:t xml:space="preserve">. </w:t>
            </w:r>
          </w:p>
        </w:tc>
      </w:tr>
    </w:tbl>
    <w:p w14:paraId="3ECB36E9" w14:textId="77777777" w:rsidR="00BF6A78" w:rsidRPr="001B11AB" w:rsidRDefault="00BF6A78" w:rsidP="00897F23">
      <w:pPr>
        <w:spacing w:after="0" w:line="240" w:lineRule="auto"/>
        <w:jc w:val="both"/>
        <w:rPr>
          <w:rFonts w:ascii="Times New Roman" w:hAnsi="Times New Roman" w:cs="Times New Roman"/>
          <w:lang w:val="sr-Latn-BA"/>
        </w:rPr>
      </w:pPr>
    </w:p>
    <w:tbl>
      <w:tblPr>
        <w:tblStyle w:val="TableGrid"/>
        <w:tblW w:w="9464" w:type="dxa"/>
        <w:tblLook w:val="04A0" w:firstRow="1" w:lastRow="0" w:firstColumn="1" w:lastColumn="0" w:noHBand="0" w:noVBand="1"/>
      </w:tblPr>
      <w:tblGrid>
        <w:gridCol w:w="9464"/>
      </w:tblGrid>
      <w:tr w:rsidR="005C6636" w:rsidRPr="001B11AB" w14:paraId="2EB57AF9" w14:textId="77777777" w:rsidTr="001824A7">
        <w:tc>
          <w:tcPr>
            <w:tcW w:w="9464" w:type="dxa"/>
            <w:tcBorders>
              <w:bottom w:val="single" w:sz="4" w:space="0" w:color="auto"/>
            </w:tcBorders>
            <w:shd w:val="clear" w:color="auto" w:fill="D9D9D9" w:themeFill="background1" w:themeFillShade="D9"/>
          </w:tcPr>
          <w:p w14:paraId="15065347" w14:textId="77777777" w:rsidR="00BF6A78" w:rsidRPr="001B11AB" w:rsidRDefault="00BF6A78" w:rsidP="00897F23">
            <w:pPr>
              <w:spacing w:after="60"/>
              <w:rPr>
                <w:rFonts w:ascii="Times New Roman" w:hAnsi="Times New Roman" w:cs="Times New Roman"/>
                <w:sz w:val="20"/>
                <w:szCs w:val="20"/>
                <w:lang w:val="ru-RU"/>
              </w:rPr>
            </w:pPr>
            <w:r w:rsidRPr="001B11AB">
              <w:rPr>
                <w:rFonts w:ascii="Times New Roman" w:hAnsi="Times New Roman" w:cs="Times New Roman"/>
                <w:b/>
                <w:sz w:val="20"/>
                <w:szCs w:val="20"/>
                <w:lang w:val="ru-RU"/>
              </w:rPr>
              <w:t>1.3. Ризични профил банке и капитални захтјеви</w:t>
            </w:r>
          </w:p>
        </w:tc>
      </w:tr>
      <w:tr w:rsidR="005C6636" w:rsidRPr="001B11AB" w14:paraId="1AEE6EDD" w14:textId="77777777" w:rsidTr="006F4726">
        <w:tc>
          <w:tcPr>
            <w:tcW w:w="9464" w:type="dxa"/>
            <w:shd w:val="clear" w:color="auto" w:fill="auto"/>
          </w:tcPr>
          <w:p w14:paraId="033B746F" w14:textId="77777777" w:rsidR="00BF6A78" w:rsidRPr="001B11AB" w:rsidRDefault="00BF6A78"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списак значајних ризика и ниво интерних капиталних захтјева за сваки од тих ризика.]</w:t>
            </w:r>
          </w:p>
        </w:tc>
      </w:tr>
      <w:tr w:rsidR="005C6636" w:rsidRPr="001B11AB" w14:paraId="07C93ACD" w14:textId="77777777" w:rsidTr="006F4726">
        <w:trPr>
          <w:trHeight w:val="265"/>
        </w:trPr>
        <w:tc>
          <w:tcPr>
            <w:tcW w:w="9464" w:type="dxa"/>
            <w:shd w:val="clear" w:color="auto" w:fill="auto"/>
          </w:tcPr>
          <w:p w14:paraId="481FD207" w14:textId="07BAC882" w:rsidR="00BF6A78" w:rsidRPr="001B11AB" w:rsidRDefault="00BF6A78" w:rsidP="00E562F2">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кратак преглед анализе ризичног профила и главне закључке.]</w:t>
            </w:r>
          </w:p>
        </w:tc>
      </w:tr>
      <w:tr w:rsidR="005C6636" w:rsidRPr="001B11AB" w14:paraId="6E1D49B2" w14:textId="77777777" w:rsidTr="00E92210">
        <w:tc>
          <w:tcPr>
            <w:tcW w:w="9464" w:type="dxa"/>
            <w:shd w:val="clear" w:color="auto" w:fill="F2F2F2" w:themeFill="background1" w:themeFillShade="F2"/>
          </w:tcPr>
          <w:p w14:paraId="4DE17F4C" w14:textId="11072083" w:rsidR="00BF6A78" w:rsidRPr="001B11AB" w:rsidRDefault="00BF6A78" w:rsidP="00897F23">
            <w:pPr>
              <w:spacing w:after="60"/>
              <w:jc w:val="both"/>
              <w:rPr>
                <w:rFonts w:ascii="Times New Roman" w:hAnsi="Times New Roman" w:cs="Times New Roman"/>
                <w:i/>
                <w:sz w:val="20"/>
                <w:szCs w:val="20"/>
                <w:lang w:val="ru-RU"/>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E562F2"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у овом </w:t>
            </w:r>
            <w:r w:rsidR="0009608A" w:rsidRPr="001B11AB">
              <w:rPr>
                <w:rFonts w:ascii="Times New Roman" w:hAnsi="Times New Roman" w:cs="Times New Roman"/>
                <w:i/>
                <w:sz w:val="20"/>
                <w:szCs w:val="20"/>
                <w:lang w:val="ru-RU"/>
              </w:rPr>
              <w:t xml:space="preserve">дијелу </w:t>
            </w:r>
            <w:r w:rsidRPr="001B11AB">
              <w:rPr>
                <w:rFonts w:ascii="Times New Roman" w:hAnsi="Times New Roman" w:cs="Times New Roman"/>
                <w:i/>
                <w:sz w:val="20"/>
                <w:szCs w:val="20"/>
                <w:lang w:val="ru-RU"/>
              </w:rPr>
              <w:t xml:space="preserve">на прегледан и разумљив начин наводи кратак преглед података и информација које су већ наведене у </w:t>
            </w:r>
            <w:r w:rsidR="000B5651" w:rsidRPr="001B11AB">
              <w:rPr>
                <w:rFonts w:ascii="Times New Roman" w:hAnsi="Times New Roman" w:cs="Times New Roman"/>
                <w:i/>
                <w:sz w:val="20"/>
                <w:szCs w:val="20"/>
                <w:lang w:val="ru-RU"/>
              </w:rPr>
              <w:t xml:space="preserve">дијелу </w:t>
            </w:r>
            <w:r w:rsidRPr="001B11AB">
              <w:rPr>
                <w:rFonts w:ascii="Times New Roman" w:hAnsi="Times New Roman" w:cs="Times New Roman"/>
                <w:i/>
                <w:sz w:val="20"/>
                <w:szCs w:val="20"/>
                <w:lang w:val="ru-RU"/>
              </w:rPr>
              <w:t xml:space="preserve">4. Утврђивање значајних ризика и </w:t>
            </w:r>
            <w:r w:rsidR="000B5651" w:rsidRPr="001B11AB">
              <w:rPr>
                <w:rFonts w:ascii="Times New Roman" w:hAnsi="Times New Roman" w:cs="Times New Roman"/>
                <w:i/>
                <w:sz w:val="20"/>
                <w:szCs w:val="20"/>
                <w:lang w:val="ru-RU"/>
              </w:rPr>
              <w:t>дијелу</w:t>
            </w:r>
            <w:r w:rsidRPr="001B11AB">
              <w:rPr>
                <w:rFonts w:ascii="Times New Roman" w:hAnsi="Times New Roman" w:cs="Times New Roman"/>
                <w:i/>
                <w:sz w:val="20"/>
                <w:szCs w:val="20"/>
                <w:lang w:val="ru-RU"/>
              </w:rPr>
              <w:t xml:space="preserve"> 5. Мјерење/процјена значајних ризика и одређивање интерних капиталних захтјева (појединачно за сваки од тих ризика), на начин који кориснику извјештаја пружа опште информације о тим елементима/фазама ICAAP-а банке. </w:t>
            </w:r>
          </w:p>
          <w:p w14:paraId="5EDD629F" w14:textId="77777777" w:rsidR="00BF6A78" w:rsidRPr="001B11AB" w:rsidRDefault="00BF6A78"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ru-RU"/>
              </w:rPr>
              <w:t xml:space="preserve">При томе, потребно да је да банка води рачуна о усклађености података наведених у различитим дијеловима Извјештаја о </w:t>
            </w:r>
            <w:r w:rsidRPr="001B11AB">
              <w:rPr>
                <w:rFonts w:ascii="Times New Roman" w:hAnsi="Times New Roman" w:cs="Times New Roman"/>
                <w:i/>
                <w:sz w:val="20"/>
                <w:szCs w:val="20"/>
                <w:lang w:val="sr-Latn-BA"/>
              </w:rPr>
              <w:t>ICAAP-</w:t>
            </w:r>
            <w:r w:rsidRPr="001B11AB">
              <w:rPr>
                <w:rFonts w:ascii="Times New Roman" w:hAnsi="Times New Roman" w:cs="Times New Roman"/>
                <w:i/>
                <w:sz w:val="20"/>
                <w:szCs w:val="20"/>
                <w:lang w:val="sr-Cyrl-BA"/>
              </w:rPr>
              <w:t>у.</w:t>
            </w:r>
          </w:p>
        </w:tc>
      </w:tr>
    </w:tbl>
    <w:p w14:paraId="4DDC96EC" w14:textId="77777777" w:rsidR="006B46AF" w:rsidRPr="001B11AB" w:rsidRDefault="006B46AF" w:rsidP="00897F23">
      <w:pPr>
        <w:spacing w:after="0" w:line="240" w:lineRule="auto"/>
        <w:jc w:val="both"/>
        <w:rPr>
          <w:rFonts w:ascii="Times New Roman" w:hAnsi="Times New Roman" w:cs="Times New Roman"/>
          <w:lang w:val="sr-Latn-BA"/>
        </w:rPr>
        <w:sectPr w:rsidR="006B46AF" w:rsidRPr="001B11AB" w:rsidSect="00CF6885">
          <w:footerReference w:type="default" r:id="rId8"/>
          <w:pgSz w:w="11909" w:h="16834" w:code="9"/>
          <w:pgMar w:top="1418" w:right="1418" w:bottom="1134" w:left="1418" w:header="510" w:footer="397" w:gutter="0"/>
          <w:pgNumType w:start="1"/>
          <w:cols w:space="708"/>
          <w:docGrid w:linePitch="360"/>
        </w:sectPr>
      </w:pPr>
    </w:p>
    <w:tbl>
      <w:tblPr>
        <w:tblStyle w:val="TableGrid"/>
        <w:tblW w:w="9464" w:type="dxa"/>
        <w:tblLook w:val="04A0" w:firstRow="1" w:lastRow="0" w:firstColumn="1" w:lastColumn="0" w:noHBand="0" w:noVBand="1"/>
      </w:tblPr>
      <w:tblGrid>
        <w:gridCol w:w="9464"/>
      </w:tblGrid>
      <w:tr w:rsidR="005C6636" w:rsidRPr="001B11AB" w14:paraId="74FC7719" w14:textId="77777777" w:rsidTr="001824A7">
        <w:tc>
          <w:tcPr>
            <w:tcW w:w="9464" w:type="dxa"/>
            <w:tcBorders>
              <w:bottom w:val="single" w:sz="4" w:space="0" w:color="auto"/>
            </w:tcBorders>
            <w:shd w:val="clear" w:color="auto" w:fill="D9D9D9" w:themeFill="background1" w:themeFillShade="D9"/>
          </w:tcPr>
          <w:p w14:paraId="66480BE0" w14:textId="77777777" w:rsidR="00BF6A78" w:rsidRPr="001B11AB" w:rsidRDefault="00BF6A78"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lastRenderedPageBreak/>
              <w:t xml:space="preserve">1.4. Управљање и систем </w:t>
            </w:r>
            <w:r w:rsidRPr="001B11AB">
              <w:rPr>
                <w:rFonts w:ascii="Times New Roman" w:hAnsi="Times New Roman" w:cs="Times New Roman"/>
                <w:b/>
                <w:sz w:val="20"/>
                <w:szCs w:val="20"/>
                <w:lang w:val="sr-Cyrl-BA"/>
              </w:rPr>
              <w:t>унутрашњих</w:t>
            </w:r>
            <w:r w:rsidRPr="001B11AB">
              <w:rPr>
                <w:rFonts w:ascii="Times New Roman" w:hAnsi="Times New Roman" w:cs="Times New Roman"/>
                <w:b/>
                <w:sz w:val="20"/>
                <w:szCs w:val="20"/>
                <w:lang w:val="ru-RU"/>
              </w:rPr>
              <w:t xml:space="preserve"> контрола</w:t>
            </w:r>
          </w:p>
        </w:tc>
      </w:tr>
      <w:tr w:rsidR="005C6636" w:rsidRPr="001B11AB" w14:paraId="73C6B266" w14:textId="77777777" w:rsidTr="006F4726">
        <w:tc>
          <w:tcPr>
            <w:tcW w:w="9464" w:type="dxa"/>
            <w:shd w:val="clear" w:color="auto" w:fill="auto"/>
          </w:tcPr>
          <w:p w14:paraId="1471FB69" w14:textId="77777777" w:rsidR="00BF6A78" w:rsidRPr="001B11AB" w:rsidRDefault="00BF6A78"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резултате самопроцјене адекватности успостављеног система управљања и система унутрашњих контрола у односу на ризични профил, те описује све недостатке.]</w:t>
            </w:r>
          </w:p>
        </w:tc>
      </w:tr>
      <w:tr w:rsidR="005C6636" w:rsidRPr="001B11AB" w14:paraId="725C8D49" w14:textId="77777777" w:rsidTr="00E92210">
        <w:tc>
          <w:tcPr>
            <w:tcW w:w="9464" w:type="dxa"/>
            <w:shd w:val="clear" w:color="auto" w:fill="F2F2F2" w:themeFill="background1" w:themeFillShade="F2"/>
          </w:tcPr>
          <w:p w14:paraId="28B6E94B" w14:textId="2BBCBB17" w:rsidR="0057753C" w:rsidRPr="001B11AB" w:rsidRDefault="0057753C" w:rsidP="00897F23">
            <w:pPr>
              <w:spacing w:after="60"/>
              <w:jc w:val="both"/>
              <w:rPr>
                <w:rFonts w:ascii="Times New Roman" w:hAnsi="Times New Roman" w:cs="Times New Roman"/>
                <w:i/>
                <w:sz w:val="20"/>
                <w:szCs w:val="20"/>
                <w:lang w:val="ru-RU"/>
              </w:rPr>
            </w:pPr>
            <w:r w:rsidRPr="001B11AB">
              <w:rPr>
                <w:rFonts w:ascii="Times New Roman" w:hAnsi="Times New Roman" w:cs="Times New Roman"/>
                <w:b/>
                <w:i/>
                <w:sz w:val="20"/>
                <w:szCs w:val="20"/>
                <w:lang w:val="ru-RU"/>
              </w:rPr>
              <w:t xml:space="preserve">Напомена: </w:t>
            </w:r>
            <w:r w:rsidR="00E562F2"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у овом </w:t>
            </w:r>
            <w:r w:rsidR="0009608A" w:rsidRPr="001B11AB">
              <w:rPr>
                <w:rFonts w:ascii="Times New Roman" w:hAnsi="Times New Roman" w:cs="Times New Roman"/>
                <w:i/>
                <w:sz w:val="20"/>
                <w:szCs w:val="20"/>
                <w:lang w:val="ru-RU"/>
              </w:rPr>
              <w:t>дијелу</w:t>
            </w:r>
            <w:r w:rsidRPr="001B11AB">
              <w:rPr>
                <w:rFonts w:ascii="Times New Roman" w:hAnsi="Times New Roman" w:cs="Times New Roman"/>
                <w:i/>
                <w:sz w:val="20"/>
                <w:szCs w:val="20"/>
                <w:lang w:val="ru-RU"/>
              </w:rPr>
              <w:t xml:space="preserve"> на прегледан и разумљив начин објашњава резултате самопроцјене, </w:t>
            </w:r>
            <w:r w:rsidR="00EF15C5" w:rsidRPr="001B11AB">
              <w:rPr>
                <w:rFonts w:ascii="Times New Roman" w:hAnsi="Times New Roman" w:cs="Times New Roman"/>
                <w:i/>
                <w:sz w:val="20"/>
                <w:szCs w:val="20"/>
                <w:lang w:val="ru-RU"/>
              </w:rPr>
              <w:t>те</w:t>
            </w:r>
            <w:r w:rsidRPr="001B11AB">
              <w:rPr>
                <w:rFonts w:ascii="Times New Roman" w:hAnsi="Times New Roman" w:cs="Times New Roman"/>
                <w:i/>
                <w:sz w:val="20"/>
                <w:szCs w:val="20"/>
                <w:lang w:val="ru-RU"/>
              </w:rPr>
              <w:t xml:space="preserve"> јасно н</w:t>
            </w:r>
            <w:r w:rsidR="00EF15C5" w:rsidRPr="001B11AB">
              <w:rPr>
                <w:rFonts w:ascii="Times New Roman" w:hAnsi="Times New Roman" w:cs="Times New Roman"/>
                <w:i/>
                <w:sz w:val="20"/>
                <w:szCs w:val="20"/>
                <w:lang w:val="ru-RU"/>
              </w:rPr>
              <w:t>аводи да ли је систем управљања</w:t>
            </w:r>
            <w:r w:rsidRPr="001B11AB">
              <w:rPr>
                <w:rFonts w:ascii="Times New Roman" w:hAnsi="Times New Roman" w:cs="Times New Roman"/>
                <w:i/>
                <w:sz w:val="20"/>
                <w:szCs w:val="20"/>
                <w:lang w:val="ru-RU"/>
              </w:rPr>
              <w:t xml:space="preserve">, укључујући </w:t>
            </w:r>
            <w:r w:rsidR="00EF15C5" w:rsidRPr="001B11AB">
              <w:rPr>
                <w:rFonts w:ascii="Times New Roman" w:hAnsi="Times New Roman" w:cs="Times New Roman"/>
                <w:i/>
                <w:sz w:val="20"/>
                <w:szCs w:val="20"/>
                <w:lang w:val="ru-RU"/>
              </w:rPr>
              <w:t>систем управљања ризицима и систем унутрашњих контрола адекватан за ефикасно управљање ризицима којима је банка изложена, односно да ли су исти усклађени са величином, сложеношћу и ризичним профилом банке.</w:t>
            </w:r>
            <w:r w:rsidR="00D51513" w:rsidRPr="001B11AB">
              <w:rPr>
                <w:rFonts w:ascii="Times New Roman" w:hAnsi="Times New Roman" w:cs="Times New Roman"/>
                <w:i/>
                <w:sz w:val="20"/>
                <w:szCs w:val="20"/>
                <w:lang w:val="ru-RU"/>
              </w:rPr>
              <w:t xml:space="preserve"> </w:t>
            </w:r>
          </w:p>
          <w:p w14:paraId="0C20AE01" w14:textId="77777777" w:rsidR="00EF15C5" w:rsidRPr="001B11AB" w:rsidRDefault="00EF15C5" w:rsidP="00897F23">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Банка је дужна у оквиру самопроцјене, између осталог, навести самопроцјену:</w:t>
            </w:r>
          </w:p>
          <w:p w14:paraId="5CC001FA" w14:textId="77777777" w:rsidR="00EF15C5" w:rsidRPr="001B11AB" w:rsidRDefault="00376B07" w:rsidP="00897F23">
            <w:pPr>
              <w:pStyle w:val="ListParagraph"/>
              <w:numPr>
                <w:ilvl w:val="0"/>
                <w:numId w:val="30"/>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адекватности рас</w:t>
            </w:r>
            <w:r w:rsidR="00EF15C5" w:rsidRPr="001B11AB">
              <w:rPr>
                <w:rFonts w:ascii="Times New Roman" w:hAnsi="Times New Roman" w:cs="Times New Roman"/>
                <w:i/>
                <w:sz w:val="20"/>
                <w:szCs w:val="20"/>
                <w:lang w:val="ru-RU"/>
              </w:rPr>
              <w:t>подјеле надлежности и одговорности у вези са управљањем ризицима између управе банке</w:t>
            </w:r>
            <w:r w:rsidR="00F066E5" w:rsidRPr="001B11AB">
              <w:rPr>
                <w:rFonts w:ascii="Times New Roman" w:hAnsi="Times New Roman" w:cs="Times New Roman"/>
                <w:i/>
                <w:sz w:val="20"/>
                <w:szCs w:val="20"/>
                <w:lang w:val="ru-RU"/>
              </w:rPr>
              <w:t xml:space="preserve"> и надзорног одбора</w:t>
            </w:r>
            <w:r w:rsidR="00EF15C5" w:rsidRPr="001B11AB">
              <w:rPr>
                <w:rFonts w:ascii="Times New Roman" w:hAnsi="Times New Roman" w:cs="Times New Roman"/>
                <w:i/>
                <w:sz w:val="20"/>
                <w:szCs w:val="20"/>
                <w:lang w:val="ru-RU"/>
              </w:rPr>
              <w:t>, те посвећености тих органа питањима управљања ризицима,</w:t>
            </w:r>
          </w:p>
          <w:p w14:paraId="4D18B4B4" w14:textId="77777777" w:rsidR="00EF15C5" w:rsidRPr="001B11AB" w:rsidRDefault="00EF15C5" w:rsidP="00BC100E">
            <w:pPr>
              <w:pStyle w:val="ListParagraph"/>
              <w:numPr>
                <w:ilvl w:val="0"/>
                <w:numId w:val="30"/>
              </w:numPr>
              <w:spacing w:after="60"/>
              <w:ind w:left="357" w:hanging="357"/>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обима и квалитета </w:t>
            </w:r>
            <w:r w:rsidR="00376B07" w:rsidRPr="001B11AB">
              <w:rPr>
                <w:rFonts w:ascii="Times New Roman" w:hAnsi="Times New Roman" w:cs="Times New Roman"/>
                <w:i/>
                <w:sz w:val="20"/>
                <w:szCs w:val="20"/>
                <w:lang w:val="ru-RU"/>
              </w:rPr>
              <w:t>активности контролних функција и адекватности ресурса контролних функција</w:t>
            </w:r>
            <w:r w:rsidR="00D51513" w:rsidRPr="001B11AB">
              <w:rPr>
                <w:rFonts w:ascii="Times New Roman" w:hAnsi="Times New Roman" w:cs="Times New Roman"/>
                <w:i/>
                <w:sz w:val="20"/>
                <w:szCs w:val="20"/>
                <w:lang w:val="ru-RU"/>
              </w:rPr>
              <w:t xml:space="preserve"> </w:t>
            </w:r>
            <w:r w:rsidR="00376B07" w:rsidRPr="001B11AB">
              <w:rPr>
                <w:rFonts w:ascii="Times New Roman" w:hAnsi="Times New Roman" w:cs="Times New Roman"/>
                <w:i/>
                <w:sz w:val="20"/>
                <w:szCs w:val="20"/>
                <w:lang w:val="ru-RU"/>
              </w:rPr>
              <w:t>(укључујући знања и искуства у вези са управљањем значајним ризицима),</w:t>
            </w:r>
          </w:p>
          <w:p w14:paraId="47D931E9" w14:textId="77777777" w:rsidR="00EF15C5" w:rsidRPr="001B11AB" w:rsidRDefault="00376B07" w:rsidP="00897F23">
            <w:pPr>
              <w:pStyle w:val="ListParagraph"/>
              <w:numPr>
                <w:ilvl w:val="0"/>
                <w:numId w:val="30"/>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квалитета унутрашњих контрола и интерног извјештавања о ризицима</w:t>
            </w:r>
            <w:r w:rsidR="00E451C1" w:rsidRPr="001B11AB">
              <w:rPr>
                <w:rFonts w:ascii="Times New Roman" w:hAnsi="Times New Roman" w:cs="Times New Roman"/>
                <w:i/>
                <w:sz w:val="20"/>
                <w:szCs w:val="20"/>
                <w:lang w:val="ru-RU"/>
              </w:rPr>
              <w:t xml:space="preserve"> и </w:t>
            </w:r>
            <w:r w:rsidR="00F6703C" w:rsidRPr="001B11AB">
              <w:rPr>
                <w:rFonts w:ascii="Times New Roman" w:hAnsi="Times New Roman" w:cs="Times New Roman"/>
                <w:i/>
                <w:sz w:val="20"/>
                <w:szCs w:val="20"/>
                <w:lang w:val="ru-RU"/>
              </w:rPr>
              <w:t>сл</w:t>
            </w:r>
            <w:r w:rsidR="0009608A" w:rsidRPr="001B11AB">
              <w:rPr>
                <w:rFonts w:ascii="Times New Roman" w:hAnsi="Times New Roman" w:cs="Times New Roman"/>
                <w:i/>
                <w:sz w:val="20"/>
                <w:szCs w:val="20"/>
                <w:lang w:val="ru-RU"/>
              </w:rPr>
              <w:t>ично.</w:t>
            </w:r>
          </w:p>
        </w:tc>
      </w:tr>
    </w:tbl>
    <w:p w14:paraId="630E8BE4" w14:textId="77777777" w:rsidR="00BC100E" w:rsidRPr="001B11AB" w:rsidRDefault="00BC100E" w:rsidP="00BC100E">
      <w:pPr>
        <w:spacing w:after="0" w:line="240" w:lineRule="auto"/>
        <w:rPr>
          <w:lang w:val="ru-RU"/>
        </w:rPr>
      </w:pPr>
    </w:p>
    <w:tbl>
      <w:tblPr>
        <w:tblStyle w:val="TableGrid"/>
        <w:tblW w:w="9464" w:type="dxa"/>
        <w:tblLook w:val="04A0" w:firstRow="1" w:lastRow="0" w:firstColumn="1" w:lastColumn="0" w:noHBand="0" w:noVBand="1"/>
      </w:tblPr>
      <w:tblGrid>
        <w:gridCol w:w="9464"/>
      </w:tblGrid>
      <w:tr w:rsidR="005C6636" w:rsidRPr="001B11AB" w14:paraId="50082981" w14:textId="77777777" w:rsidTr="00BC100E">
        <w:trPr>
          <w:trHeight w:val="54"/>
        </w:trPr>
        <w:tc>
          <w:tcPr>
            <w:tcW w:w="9464" w:type="dxa"/>
            <w:tcBorders>
              <w:bottom w:val="single" w:sz="4" w:space="0" w:color="auto"/>
            </w:tcBorders>
            <w:shd w:val="clear" w:color="auto" w:fill="D9D9D9" w:themeFill="background1" w:themeFillShade="D9"/>
          </w:tcPr>
          <w:p w14:paraId="63A51AF6" w14:textId="77777777" w:rsidR="00BF6A78" w:rsidRPr="001B11AB" w:rsidRDefault="00BF6A78" w:rsidP="00BC100E">
            <w:pPr>
              <w:spacing w:after="60"/>
              <w:jc w:val="both"/>
              <w:rPr>
                <w:rFonts w:ascii="Times New Roman" w:hAnsi="Times New Roman" w:cs="Times New Roman"/>
                <w:sz w:val="20"/>
                <w:szCs w:val="20"/>
                <w:lang w:val="hr-HR"/>
              </w:rPr>
            </w:pPr>
            <w:r w:rsidRPr="001B11AB">
              <w:rPr>
                <w:rFonts w:ascii="Times New Roman" w:hAnsi="Times New Roman" w:cs="Times New Roman"/>
                <w:b/>
                <w:sz w:val="20"/>
                <w:szCs w:val="20"/>
                <w:lang w:val="hr-HR"/>
              </w:rPr>
              <w:t>1.5. Циљани капитал, изнад минималних капиталних захтјева (</w:t>
            </w:r>
            <w:r w:rsidRPr="001B11AB">
              <w:rPr>
                <w:rFonts w:ascii="Times New Roman" w:hAnsi="Times New Roman" w:cs="Times New Roman"/>
                <w:b/>
                <w:i/>
                <w:sz w:val="20"/>
                <w:szCs w:val="20"/>
              </w:rPr>
              <w:t>the</w:t>
            </w:r>
            <w:r w:rsidRPr="001B11AB">
              <w:rPr>
                <w:rFonts w:ascii="Times New Roman" w:hAnsi="Times New Roman" w:cs="Times New Roman"/>
                <w:b/>
                <w:i/>
                <w:sz w:val="20"/>
                <w:szCs w:val="20"/>
                <w:lang w:val="hr-HR"/>
              </w:rPr>
              <w:t xml:space="preserve"> </w:t>
            </w:r>
            <w:r w:rsidRPr="001B11AB">
              <w:rPr>
                <w:rFonts w:ascii="Times New Roman" w:hAnsi="Times New Roman" w:cs="Times New Roman"/>
                <w:b/>
                <w:i/>
                <w:sz w:val="20"/>
                <w:szCs w:val="20"/>
              </w:rPr>
              <w:t>bank</w:t>
            </w:r>
            <w:r w:rsidRPr="001B11AB">
              <w:rPr>
                <w:rFonts w:ascii="Times New Roman" w:hAnsi="Times New Roman" w:cs="Times New Roman"/>
                <w:b/>
                <w:i/>
                <w:sz w:val="20"/>
                <w:szCs w:val="20"/>
                <w:lang w:val="hr-HR"/>
              </w:rPr>
              <w:t>’</w:t>
            </w:r>
            <w:r w:rsidRPr="001B11AB">
              <w:rPr>
                <w:rFonts w:ascii="Times New Roman" w:hAnsi="Times New Roman" w:cs="Times New Roman"/>
                <w:b/>
                <w:i/>
                <w:sz w:val="20"/>
                <w:szCs w:val="20"/>
              </w:rPr>
              <w:t>s</w:t>
            </w:r>
            <w:r w:rsidRPr="001B11AB">
              <w:rPr>
                <w:rFonts w:ascii="Times New Roman" w:hAnsi="Times New Roman" w:cs="Times New Roman"/>
                <w:b/>
                <w:i/>
                <w:sz w:val="20"/>
                <w:szCs w:val="20"/>
                <w:lang w:val="hr-HR"/>
              </w:rPr>
              <w:t xml:space="preserve"> </w:t>
            </w:r>
            <w:r w:rsidRPr="001B11AB">
              <w:rPr>
                <w:rFonts w:ascii="Times New Roman" w:hAnsi="Times New Roman" w:cs="Times New Roman"/>
                <w:b/>
                <w:i/>
                <w:sz w:val="20"/>
                <w:szCs w:val="20"/>
              </w:rPr>
              <w:t>own</w:t>
            </w:r>
            <w:r w:rsidRPr="001B11AB">
              <w:rPr>
                <w:rFonts w:ascii="Times New Roman" w:hAnsi="Times New Roman" w:cs="Times New Roman"/>
                <w:b/>
                <w:i/>
                <w:sz w:val="20"/>
                <w:szCs w:val="20"/>
                <w:lang w:val="hr-HR"/>
              </w:rPr>
              <w:t xml:space="preserve"> </w:t>
            </w:r>
            <w:r w:rsidRPr="001B11AB">
              <w:rPr>
                <w:rFonts w:ascii="Times New Roman" w:hAnsi="Times New Roman" w:cs="Times New Roman"/>
                <w:b/>
                <w:i/>
                <w:sz w:val="20"/>
                <w:szCs w:val="20"/>
              </w:rPr>
              <w:t>funds</w:t>
            </w:r>
            <w:r w:rsidRPr="001B11AB">
              <w:rPr>
                <w:rFonts w:ascii="Times New Roman" w:hAnsi="Times New Roman" w:cs="Times New Roman"/>
                <w:b/>
                <w:i/>
                <w:sz w:val="20"/>
                <w:szCs w:val="20"/>
                <w:lang w:val="hr-HR"/>
              </w:rPr>
              <w:t xml:space="preserve"> </w:t>
            </w:r>
            <w:r w:rsidRPr="001B11AB">
              <w:rPr>
                <w:rFonts w:ascii="Times New Roman" w:hAnsi="Times New Roman" w:cs="Times New Roman"/>
                <w:b/>
                <w:i/>
                <w:sz w:val="20"/>
                <w:szCs w:val="20"/>
              </w:rPr>
              <w:t>target</w:t>
            </w:r>
            <w:r w:rsidRPr="001B11AB">
              <w:rPr>
                <w:rFonts w:ascii="Times New Roman" w:hAnsi="Times New Roman" w:cs="Times New Roman"/>
                <w:b/>
                <w:sz w:val="20"/>
                <w:szCs w:val="20"/>
                <w:lang w:val="hr-HR"/>
              </w:rPr>
              <w:t xml:space="preserve">) </w:t>
            </w:r>
          </w:p>
        </w:tc>
      </w:tr>
      <w:tr w:rsidR="005C6636" w:rsidRPr="001B11AB" w14:paraId="1335A372" w14:textId="77777777" w:rsidTr="00BC100E">
        <w:tc>
          <w:tcPr>
            <w:tcW w:w="9464" w:type="dxa"/>
            <w:shd w:val="clear" w:color="auto" w:fill="auto"/>
          </w:tcPr>
          <w:p w14:paraId="642D2768" w14:textId="77777777" w:rsidR="0009608A" w:rsidRPr="001B11AB" w:rsidRDefault="00BF6A78" w:rsidP="00BC100E">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дефинише циљани редовни основни капитал, циљани основни капитал и циљани регулаторни капитал. Циљани капитал мора бити дефинисан у апсолутном износу (навођењем и детаљне структуре капитала) и релативном, односно процентуалном износу (нпр. минимална циљана стопа редовног основног капитала), уз напомену да те стопе морају бити веће од минималних стопа дефинисаних чланом 34. Одлуке о израчунавању капитала банака. </w:t>
            </w:r>
          </w:p>
          <w:p w14:paraId="334DB00D" w14:textId="506B06E3" w:rsidR="006F4726" w:rsidRPr="001B11AB" w:rsidRDefault="00BF6A78" w:rsidP="00BC100E">
            <w:pPr>
              <w:spacing w:after="60"/>
              <w:jc w:val="both"/>
              <w:rPr>
                <w:rFonts w:ascii="Times New Roman" w:hAnsi="Times New Roman" w:cs="Times New Roman"/>
                <w:i/>
                <w:spacing w:val="-4"/>
                <w:sz w:val="20"/>
                <w:szCs w:val="20"/>
                <w:lang w:val="sr-Cyrl-BA"/>
              </w:rPr>
            </w:pPr>
            <w:r w:rsidRPr="001B11AB">
              <w:rPr>
                <w:rFonts w:ascii="Times New Roman" w:hAnsi="Times New Roman" w:cs="Times New Roman"/>
                <w:i/>
                <w:spacing w:val="-4"/>
                <w:sz w:val="20"/>
                <w:szCs w:val="20"/>
                <w:lang w:val="sr-Cyrl-CS"/>
              </w:rPr>
              <w:t>Уколико је Агенција утврдила веће минималне стопе капитала за банк</w:t>
            </w:r>
            <w:r w:rsidR="00E562F2" w:rsidRPr="001B11AB">
              <w:rPr>
                <w:rFonts w:ascii="Times New Roman" w:hAnsi="Times New Roman" w:cs="Times New Roman"/>
                <w:i/>
                <w:spacing w:val="-4"/>
                <w:sz w:val="20"/>
                <w:szCs w:val="20"/>
                <w:lang w:val="sr-Cyrl-CS"/>
              </w:rPr>
              <w:t>у, циљане стопе капитала треба да</w:t>
            </w:r>
            <w:r w:rsidRPr="001B11AB">
              <w:rPr>
                <w:rFonts w:ascii="Times New Roman" w:hAnsi="Times New Roman" w:cs="Times New Roman"/>
                <w:i/>
                <w:spacing w:val="-4"/>
                <w:sz w:val="20"/>
                <w:szCs w:val="20"/>
                <w:lang w:val="sr-Cyrl-CS"/>
              </w:rPr>
              <w:t xml:space="preserve"> б</w:t>
            </w:r>
            <w:r w:rsidR="00E562F2" w:rsidRPr="001B11AB">
              <w:rPr>
                <w:rFonts w:ascii="Times New Roman" w:hAnsi="Times New Roman" w:cs="Times New Roman"/>
                <w:i/>
                <w:spacing w:val="-4"/>
                <w:sz w:val="20"/>
                <w:szCs w:val="20"/>
                <w:lang w:val="sr-Cyrl-CS"/>
              </w:rPr>
              <w:t>уду</w:t>
            </w:r>
            <w:r w:rsidRPr="001B11AB">
              <w:rPr>
                <w:rFonts w:ascii="Times New Roman" w:hAnsi="Times New Roman" w:cs="Times New Roman"/>
                <w:i/>
                <w:spacing w:val="-4"/>
                <w:sz w:val="20"/>
                <w:szCs w:val="20"/>
                <w:lang w:val="sr-Cyrl-CS"/>
              </w:rPr>
              <w:t xml:space="preserve"> веће од минималних стопа капитала утврђених од стране Агенције.</w:t>
            </w:r>
            <w:r w:rsidR="006F4726" w:rsidRPr="001B11AB">
              <w:rPr>
                <w:rFonts w:ascii="Times New Roman" w:hAnsi="Times New Roman" w:cs="Times New Roman"/>
                <w:i/>
                <w:spacing w:val="-4"/>
                <w:sz w:val="20"/>
                <w:szCs w:val="20"/>
                <w:lang w:val="sr-Cyrl-CS"/>
              </w:rPr>
              <w:t xml:space="preserve"> Такође, банка приликом дефинисања циљаног капитала треба да узима у обзир резултате </w:t>
            </w:r>
            <w:r w:rsidR="006F4726" w:rsidRPr="001B11AB">
              <w:rPr>
                <w:rFonts w:ascii="Times New Roman" w:hAnsi="Times New Roman" w:cs="Times New Roman"/>
                <w:i/>
                <w:spacing w:val="-4"/>
                <w:sz w:val="20"/>
                <w:szCs w:val="20"/>
                <w:lang w:val="sr-Latn-BA"/>
              </w:rPr>
              <w:t>ICAAP-</w:t>
            </w:r>
            <w:r w:rsidR="00E562F2" w:rsidRPr="001B11AB">
              <w:rPr>
                <w:rFonts w:ascii="Times New Roman" w:hAnsi="Times New Roman" w:cs="Times New Roman"/>
                <w:i/>
                <w:spacing w:val="-4"/>
                <w:sz w:val="20"/>
                <w:szCs w:val="20"/>
                <w:lang w:val="sr-Cyrl-BA"/>
              </w:rPr>
              <w:t>а</w:t>
            </w:r>
            <w:r w:rsidR="006F4726" w:rsidRPr="001B11AB">
              <w:rPr>
                <w:rFonts w:ascii="Times New Roman" w:hAnsi="Times New Roman" w:cs="Times New Roman"/>
                <w:i/>
                <w:spacing w:val="-4"/>
                <w:sz w:val="20"/>
                <w:szCs w:val="20"/>
                <w:lang w:val="sr-Cyrl-BA"/>
              </w:rPr>
              <w:t xml:space="preserve"> те прописане заштитне слојеве капитала. </w:t>
            </w:r>
          </w:p>
          <w:p w14:paraId="4667B272" w14:textId="2883EB9A" w:rsidR="00BF6A78" w:rsidRPr="001B11AB" w:rsidRDefault="00540C0A" w:rsidP="00BC100E">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Cyrl-BA"/>
              </w:rPr>
              <w:t>Поред тога, у</w:t>
            </w:r>
            <w:r w:rsidR="006F4726" w:rsidRPr="001B11AB">
              <w:rPr>
                <w:rFonts w:ascii="Times New Roman" w:hAnsi="Times New Roman" w:cs="Times New Roman"/>
                <w:i/>
                <w:sz w:val="20"/>
                <w:szCs w:val="20"/>
                <w:lang w:val="sr-Cyrl-BA"/>
              </w:rPr>
              <w:t xml:space="preserve">колико су стопе капитала банке </w:t>
            </w:r>
            <w:r w:rsidR="00A86D88" w:rsidRPr="001B11AB">
              <w:rPr>
                <w:rFonts w:ascii="Times New Roman" w:hAnsi="Times New Roman" w:cs="Times New Roman"/>
                <w:i/>
                <w:sz w:val="20"/>
                <w:szCs w:val="20"/>
                <w:lang w:val="sr-Cyrl-BA"/>
              </w:rPr>
              <w:t xml:space="preserve">тренутно </w:t>
            </w:r>
            <w:r w:rsidR="006F4726" w:rsidRPr="001B11AB">
              <w:rPr>
                <w:rFonts w:ascii="Times New Roman" w:hAnsi="Times New Roman" w:cs="Times New Roman"/>
                <w:i/>
                <w:sz w:val="20"/>
                <w:szCs w:val="20"/>
                <w:lang w:val="sr-Cyrl-BA"/>
              </w:rPr>
              <w:t>значајно веће од циљаних стопа, потребно је да банка</w:t>
            </w:r>
            <w:r w:rsidR="0009608A" w:rsidRPr="001B11AB">
              <w:rPr>
                <w:rFonts w:ascii="Times New Roman" w:hAnsi="Times New Roman" w:cs="Times New Roman"/>
                <w:i/>
                <w:sz w:val="20"/>
                <w:szCs w:val="20"/>
                <w:lang w:val="sr-Cyrl-BA"/>
              </w:rPr>
              <w:t xml:space="preserve"> образложи разлоге</w:t>
            </w:r>
            <w:r w:rsidR="0059493D" w:rsidRPr="001B11AB">
              <w:rPr>
                <w:rFonts w:ascii="Times New Roman" w:hAnsi="Times New Roman" w:cs="Times New Roman"/>
                <w:i/>
                <w:sz w:val="20"/>
                <w:szCs w:val="20"/>
                <w:lang w:val="sr-Cyrl-BA"/>
              </w:rPr>
              <w:t xml:space="preserve"> </w:t>
            </w:r>
            <w:r w:rsidR="00E562F2" w:rsidRPr="001B11AB">
              <w:rPr>
                <w:rFonts w:ascii="Times New Roman" w:hAnsi="Times New Roman" w:cs="Times New Roman"/>
                <w:i/>
                <w:sz w:val="20"/>
                <w:szCs w:val="20"/>
                <w:lang w:val="sr-Cyrl-BA"/>
              </w:rPr>
              <w:t>–</w:t>
            </w:r>
            <w:r w:rsidR="0009608A" w:rsidRPr="001B11AB">
              <w:rPr>
                <w:rFonts w:ascii="Times New Roman" w:hAnsi="Times New Roman" w:cs="Times New Roman"/>
                <w:i/>
                <w:sz w:val="20"/>
                <w:szCs w:val="20"/>
                <w:lang w:val="sr-Cyrl-BA"/>
              </w:rPr>
              <w:t xml:space="preserve"> </w:t>
            </w:r>
            <w:r w:rsidR="00A86D88" w:rsidRPr="001B11AB">
              <w:rPr>
                <w:rFonts w:ascii="Times New Roman" w:hAnsi="Times New Roman" w:cs="Times New Roman"/>
                <w:i/>
                <w:sz w:val="20"/>
                <w:szCs w:val="20"/>
                <w:lang w:val="sr-Cyrl-BA"/>
              </w:rPr>
              <w:t>нпр. уколик</w:t>
            </w:r>
            <w:r w:rsidR="006F4726" w:rsidRPr="001B11AB">
              <w:rPr>
                <w:rFonts w:ascii="Times New Roman" w:hAnsi="Times New Roman" w:cs="Times New Roman"/>
                <w:i/>
                <w:sz w:val="20"/>
                <w:szCs w:val="20"/>
                <w:lang w:val="sr-Cyrl-BA"/>
              </w:rPr>
              <w:t xml:space="preserve">о је банка навела да јој циљана стопа </w:t>
            </w:r>
            <w:r w:rsidR="00A86D88" w:rsidRPr="001B11AB">
              <w:rPr>
                <w:rFonts w:ascii="Times New Roman" w:hAnsi="Times New Roman" w:cs="Times New Roman"/>
                <w:i/>
                <w:sz w:val="20"/>
                <w:szCs w:val="20"/>
                <w:lang w:val="sr-Cyrl-BA"/>
              </w:rPr>
              <w:t xml:space="preserve">регулаторног </w:t>
            </w:r>
            <w:r w:rsidR="006F4726" w:rsidRPr="001B11AB">
              <w:rPr>
                <w:rFonts w:ascii="Times New Roman" w:hAnsi="Times New Roman" w:cs="Times New Roman"/>
                <w:i/>
                <w:sz w:val="20"/>
                <w:szCs w:val="20"/>
                <w:lang w:val="sr-Cyrl-BA"/>
              </w:rPr>
              <w:t>капитала износи 15%, а на извјештајни датум има стопу капитала изнад 2</w:t>
            </w:r>
            <w:r w:rsidR="00A86D88" w:rsidRPr="001B11AB">
              <w:rPr>
                <w:rFonts w:ascii="Times New Roman" w:hAnsi="Times New Roman" w:cs="Times New Roman"/>
                <w:i/>
                <w:sz w:val="20"/>
                <w:szCs w:val="20"/>
                <w:lang w:val="sr-Cyrl-BA"/>
              </w:rPr>
              <w:t>1</w:t>
            </w:r>
            <w:r w:rsidR="006F4726" w:rsidRPr="001B11AB">
              <w:rPr>
                <w:rFonts w:ascii="Times New Roman" w:hAnsi="Times New Roman" w:cs="Times New Roman"/>
                <w:i/>
                <w:sz w:val="20"/>
                <w:szCs w:val="20"/>
                <w:lang w:val="sr-Cyrl-BA"/>
              </w:rPr>
              <w:t>%.</w:t>
            </w:r>
            <w:r w:rsidR="00BF6A78" w:rsidRPr="001B11AB">
              <w:rPr>
                <w:rFonts w:ascii="Times New Roman" w:hAnsi="Times New Roman" w:cs="Times New Roman"/>
                <w:i/>
                <w:sz w:val="20"/>
                <w:szCs w:val="20"/>
                <w:lang w:val="sr-Cyrl-CS"/>
              </w:rPr>
              <w:t>]</w:t>
            </w:r>
            <w:r w:rsidR="006F4726" w:rsidRPr="001B11AB">
              <w:rPr>
                <w:rFonts w:ascii="Times New Roman" w:hAnsi="Times New Roman" w:cs="Times New Roman"/>
                <w:i/>
                <w:sz w:val="20"/>
                <w:szCs w:val="20"/>
                <w:lang w:val="sr-Cyrl-CS"/>
              </w:rPr>
              <w:t xml:space="preserve"> </w:t>
            </w:r>
          </w:p>
        </w:tc>
      </w:tr>
    </w:tbl>
    <w:p w14:paraId="0BCC12B3" w14:textId="77777777" w:rsidR="00BF6A78" w:rsidRPr="001B11AB" w:rsidRDefault="00BF6A78" w:rsidP="00BC100E">
      <w:pPr>
        <w:spacing w:after="0" w:line="240" w:lineRule="auto"/>
        <w:rPr>
          <w:rFonts w:ascii="Times New Roman" w:hAnsi="Times New Roman" w:cs="Times New Roman"/>
          <w:lang w:val="sr-Cyrl-BA"/>
        </w:rPr>
      </w:pPr>
    </w:p>
    <w:tbl>
      <w:tblPr>
        <w:tblStyle w:val="TableGrid"/>
        <w:tblW w:w="9464" w:type="dxa"/>
        <w:tblLook w:val="04A0" w:firstRow="1" w:lastRow="0" w:firstColumn="1" w:lastColumn="0" w:noHBand="0" w:noVBand="1"/>
      </w:tblPr>
      <w:tblGrid>
        <w:gridCol w:w="9464"/>
      </w:tblGrid>
      <w:tr w:rsidR="005C6636" w:rsidRPr="001B11AB" w14:paraId="33119D72" w14:textId="77777777" w:rsidTr="00BC100E">
        <w:tc>
          <w:tcPr>
            <w:tcW w:w="9464" w:type="dxa"/>
            <w:tcBorders>
              <w:bottom w:val="single" w:sz="4" w:space="0" w:color="auto"/>
            </w:tcBorders>
            <w:shd w:val="clear" w:color="auto" w:fill="D9D9D9" w:themeFill="background1" w:themeFillShade="D9"/>
          </w:tcPr>
          <w:p w14:paraId="2EF61F0A" w14:textId="77777777" w:rsidR="00BF6A78" w:rsidRPr="001B11AB" w:rsidRDefault="00BF6A78" w:rsidP="00BC100E">
            <w:pPr>
              <w:spacing w:after="60"/>
              <w:rPr>
                <w:rFonts w:ascii="Times New Roman" w:hAnsi="Times New Roman" w:cs="Times New Roman"/>
                <w:sz w:val="20"/>
                <w:szCs w:val="20"/>
              </w:rPr>
            </w:pPr>
            <w:r w:rsidRPr="001B11AB">
              <w:rPr>
                <w:rFonts w:ascii="Times New Roman" w:hAnsi="Times New Roman" w:cs="Times New Roman"/>
                <w:b/>
                <w:sz w:val="20"/>
                <w:szCs w:val="20"/>
              </w:rPr>
              <w:t>1.6. Планирање капитала</w:t>
            </w:r>
          </w:p>
        </w:tc>
      </w:tr>
      <w:tr w:rsidR="005C6636" w:rsidRPr="001B11AB" w14:paraId="24081D75" w14:textId="77777777" w:rsidTr="00BC100E">
        <w:tc>
          <w:tcPr>
            <w:tcW w:w="9464" w:type="dxa"/>
            <w:shd w:val="clear" w:color="auto" w:fill="auto"/>
          </w:tcPr>
          <w:p w14:paraId="45D1FDF3" w14:textId="136BC849" w:rsidR="00CB0894" w:rsidRPr="001B11AB" w:rsidRDefault="00BF6A78" w:rsidP="00BC100E">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кратак опис планирања капитала и политике дивиденде за </w:t>
            </w:r>
            <w:r w:rsidR="00540C0A" w:rsidRPr="001B11AB">
              <w:rPr>
                <w:rFonts w:ascii="Times New Roman" w:hAnsi="Times New Roman" w:cs="Times New Roman"/>
                <w:i/>
                <w:sz w:val="20"/>
                <w:szCs w:val="20"/>
                <w:lang w:val="sr-Cyrl-CS"/>
              </w:rPr>
              <w:t xml:space="preserve">период од најмање </w:t>
            </w:r>
            <w:r w:rsidRPr="001B11AB">
              <w:rPr>
                <w:rFonts w:ascii="Times New Roman" w:hAnsi="Times New Roman" w:cs="Times New Roman"/>
                <w:i/>
                <w:sz w:val="20"/>
                <w:szCs w:val="20"/>
                <w:lang w:val="sr-Cyrl-CS"/>
              </w:rPr>
              <w:t>наредне три године. Навести како ба</w:t>
            </w:r>
            <w:r w:rsidR="00E562F2" w:rsidRPr="001B11AB">
              <w:rPr>
                <w:rFonts w:ascii="Times New Roman" w:hAnsi="Times New Roman" w:cs="Times New Roman"/>
                <w:i/>
                <w:sz w:val="20"/>
                <w:szCs w:val="20"/>
                <w:lang w:val="sr-Cyrl-CS"/>
              </w:rPr>
              <w:t>нка планира управљати капиталом</w:t>
            </w:r>
            <w:r w:rsidRPr="001B11AB">
              <w:rPr>
                <w:rFonts w:ascii="Times New Roman" w:hAnsi="Times New Roman" w:cs="Times New Roman"/>
                <w:i/>
                <w:sz w:val="20"/>
                <w:szCs w:val="20"/>
                <w:lang w:val="sr-Cyrl-CS"/>
              </w:rPr>
              <w:t xml:space="preserve"> те описати изворе за прибављање капитала.]</w:t>
            </w:r>
          </w:p>
        </w:tc>
      </w:tr>
      <w:tr w:rsidR="005C6636" w:rsidRPr="001B11AB" w14:paraId="6174AC47" w14:textId="77777777" w:rsidTr="00BC100E">
        <w:tc>
          <w:tcPr>
            <w:tcW w:w="9464" w:type="dxa"/>
            <w:shd w:val="clear" w:color="auto" w:fill="auto"/>
          </w:tcPr>
          <w:p w14:paraId="665EE499" w14:textId="77777777" w:rsidR="00CB0894" w:rsidRPr="001B11AB" w:rsidRDefault="00CB0894" w:rsidP="00BC100E">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[Банка </w:t>
            </w:r>
            <w:r w:rsidR="0009608A" w:rsidRPr="001B11AB">
              <w:rPr>
                <w:rFonts w:ascii="Times New Roman" w:hAnsi="Times New Roman" w:cs="Times New Roman"/>
                <w:i/>
                <w:sz w:val="20"/>
                <w:szCs w:val="20"/>
                <w:lang w:val="ru-RU"/>
              </w:rPr>
              <w:t xml:space="preserve">наводи </w:t>
            </w:r>
            <w:r w:rsidR="00C205AC" w:rsidRPr="001B11AB">
              <w:rPr>
                <w:rFonts w:ascii="Times New Roman" w:hAnsi="Times New Roman" w:cs="Times New Roman"/>
                <w:i/>
                <w:sz w:val="20"/>
                <w:szCs w:val="20"/>
                <w:lang w:val="ru-RU"/>
              </w:rPr>
              <w:t>процјену адекватности капитала банке од стране надзорног одбора,</w:t>
            </w:r>
            <w:r w:rsidR="00D51513" w:rsidRPr="001B11AB">
              <w:rPr>
                <w:rFonts w:ascii="Times New Roman" w:hAnsi="Times New Roman" w:cs="Times New Roman"/>
                <w:i/>
                <w:sz w:val="20"/>
                <w:szCs w:val="20"/>
                <w:lang w:val="ru-RU"/>
              </w:rPr>
              <w:t xml:space="preserve"> </w:t>
            </w:r>
            <w:r w:rsidR="00C205AC" w:rsidRPr="001B11AB">
              <w:rPr>
                <w:rFonts w:ascii="Times New Roman" w:hAnsi="Times New Roman" w:cs="Times New Roman"/>
                <w:i/>
                <w:sz w:val="20"/>
                <w:szCs w:val="20"/>
                <w:lang w:val="ru-RU"/>
              </w:rPr>
              <w:t>образлажући своју процјену резултатима ICAAP-а.]</w:t>
            </w:r>
            <w:r w:rsidR="00D51513" w:rsidRPr="001B11AB">
              <w:rPr>
                <w:rFonts w:ascii="Times New Roman" w:hAnsi="Times New Roman" w:cs="Times New Roman"/>
                <w:i/>
                <w:sz w:val="20"/>
                <w:szCs w:val="20"/>
                <w:lang w:val="ru-RU"/>
              </w:rPr>
              <w:t xml:space="preserve"> </w:t>
            </w:r>
          </w:p>
        </w:tc>
      </w:tr>
    </w:tbl>
    <w:p w14:paraId="540212CF" w14:textId="77777777" w:rsidR="00E740BB" w:rsidRPr="001B11AB" w:rsidRDefault="00E740BB" w:rsidP="00897F23">
      <w:pPr>
        <w:spacing w:after="0" w:line="240" w:lineRule="auto"/>
        <w:jc w:val="both"/>
        <w:rPr>
          <w:rFonts w:ascii="Times New Roman" w:hAnsi="Times New Roman" w:cs="Times New Roman"/>
          <w:lang w:val="sr-Latn-BA"/>
        </w:rPr>
      </w:pPr>
    </w:p>
    <w:tbl>
      <w:tblPr>
        <w:tblStyle w:val="TableGrid"/>
        <w:tblW w:w="9464" w:type="dxa"/>
        <w:tblLook w:val="04A0" w:firstRow="1" w:lastRow="0" w:firstColumn="1" w:lastColumn="0" w:noHBand="0" w:noVBand="1"/>
      </w:tblPr>
      <w:tblGrid>
        <w:gridCol w:w="9464"/>
      </w:tblGrid>
      <w:tr w:rsidR="005C6636" w:rsidRPr="001B11AB" w14:paraId="66F72254" w14:textId="77777777" w:rsidTr="001824A7">
        <w:tc>
          <w:tcPr>
            <w:tcW w:w="9464" w:type="dxa"/>
            <w:tcBorders>
              <w:bottom w:val="single" w:sz="4" w:space="0" w:color="auto"/>
            </w:tcBorders>
            <w:shd w:val="clear" w:color="auto" w:fill="D9D9D9" w:themeFill="background1" w:themeFillShade="D9"/>
          </w:tcPr>
          <w:p w14:paraId="6E986211"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 xml:space="preserve">1.7. Властита процјена адекватности </w:t>
            </w:r>
            <w:r w:rsidRPr="001B11AB">
              <w:rPr>
                <w:rFonts w:ascii="Times New Roman" w:hAnsi="Times New Roman" w:cs="Times New Roman"/>
                <w:b/>
                <w:sz w:val="20"/>
                <w:szCs w:val="20"/>
              </w:rPr>
              <w:t>ICAAP</w:t>
            </w:r>
            <w:r w:rsidRPr="001B11AB">
              <w:rPr>
                <w:rFonts w:ascii="Times New Roman" w:hAnsi="Times New Roman" w:cs="Times New Roman"/>
                <w:b/>
                <w:sz w:val="20"/>
                <w:szCs w:val="20"/>
                <w:lang w:val="ru-RU"/>
              </w:rPr>
              <w:t>-</w:t>
            </w:r>
            <w:r w:rsidRPr="001B11AB">
              <w:rPr>
                <w:rFonts w:ascii="Times New Roman" w:hAnsi="Times New Roman" w:cs="Times New Roman"/>
                <w:b/>
                <w:sz w:val="20"/>
                <w:szCs w:val="20"/>
              </w:rPr>
              <w:t>a</w:t>
            </w:r>
          </w:p>
        </w:tc>
      </w:tr>
      <w:tr w:rsidR="005C6636" w:rsidRPr="001B11AB" w14:paraId="69BED5CE" w14:textId="77777777" w:rsidTr="006F4726">
        <w:tc>
          <w:tcPr>
            <w:tcW w:w="9464" w:type="dxa"/>
            <w:shd w:val="clear" w:color="auto" w:fill="auto"/>
          </w:tcPr>
          <w:p w14:paraId="31ECEFF8" w14:textId="77777777" w:rsidR="00540C0A" w:rsidRPr="001B11AB" w:rsidRDefault="00E740BB"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кратак опис властите процјене адекватности ICAAP-а, уз навођење слабости и недостатака, те плана за побољшање ICAAP-а и рокова за провођење тог плана.]</w:t>
            </w:r>
          </w:p>
        </w:tc>
      </w:tr>
      <w:tr w:rsidR="005C6636" w:rsidRPr="001B11AB" w14:paraId="43806E51" w14:textId="77777777" w:rsidTr="00E92210">
        <w:tc>
          <w:tcPr>
            <w:tcW w:w="9464" w:type="dxa"/>
            <w:shd w:val="clear" w:color="auto" w:fill="F2F2F2" w:themeFill="background1" w:themeFillShade="F2"/>
          </w:tcPr>
          <w:p w14:paraId="591D426F" w14:textId="7EED0B2F" w:rsidR="00E451C1" w:rsidRPr="001B11AB" w:rsidRDefault="00540C0A"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E562F2" w:rsidRPr="001B11AB">
              <w:rPr>
                <w:rFonts w:ascii="Times New Roman" w:hAnsi="Times New Roman" w:cs="Times New Roman"/>
                <w:i/>
                <w:sz w:val="20"/>
                <w:szCs w:val="20"/>
                <w:lang w:val="ru-RU"/>
              </w:rPr>
              <w:t>Б</w:t>
            </w:r>
            <w:r w:rsidR="00E451C1" w:rsidRPr="001B11AB">
              <w:rPr>
                <w:rFonts w:ascii="Times New Roman" w:hAnsi="Times New Roman" w:cs="Times New Roman"/>
                <w:i/>
                <w:sz w:val="20"/>
                <w:szCs w:val="20"/>
                <w:lang w:val="ru-RU"/>
              </w:rPr>
              <w:t xml:space="preserve">анка у овом </w:t>
            </w:r>
            <w:r w:rsidR="004746FF" w:rsidRPr="001B11AB">
              <w:rPr>
                <w:rFonts w:ascii="Times New Roman" w:hAnsi="Times New Roman" w:cs="Times New Roman"/>
                <w:i/>
                <w:sz w:val="20"/>
                <w:szCs w:val="20"/>
                <w:lang w:val="ru-RU"/>
              </w:rPr>
              <w:t>дијелу</w:t>
            </w:r>
            <w:r w:rsidR="00E451C1" w:rsidRPr="001B11AB">
              <w:rPr>
                <w:rFonts w:ascii="Times New Roman" w:hAnsi="Times New Roman" w:cs="Times New Roman"/>
                <w:i/>
                <w:sz w:val="20"/>
                <w:szCs w:val="20"/>
                <w:lang w:val="ru-RU"/>
              </w:rPr>
              <w:t xml:space="preserve"> на прегледан и разумљив начин објашњава резултате самопроцјене </w:t>
            </w:r>
            <w:r w:rsidR="00E451C1" w:rsidRPr="001B11AB">
              <w:rPr>
                <w:rFonts w:ascii="Times New Roman" w:hAnsi="Times New Roman" w:cs="Times New Roman"/>
                <w:i/>
                <w:sz w:val="20"/>
                <w:szCs w:val="20"/>
              </w:rPr>
              <w:t>ICAAP</w:t>
            </w:r>
            <w:r w:rsidR="00E451C1" w:rsidRPr="001B11AB">
              <w:rPr>
                <w:rFonts w:ascii="Times New Roman" w:hAnsi="Times New Roman" w:cs="Times New Roman"/>
                <w:i/>
                <w:sz w:val="20"/>
                <w:szCs w:val="20"/>
                <w:lang w:val="ru-RU"/>
              </w:rPr>
              <w:t>-</w:t>
            </w:r>
            <w:r w:rsidR="00E451C1" w:rsidRPr="001B11AB">
              <w:rPr>
                <w:rFonts w:ascii="Times New Roman" w:hAnsi="Times New Roman" w:cs="Times New Roman"/>
                <w:i/>
                <w:sz w:val="20"/>
                <w:szCs w:val="20"/>
                <w:lang w:val="sr-Cyrl-BA"/>
              </w:rPr>
              <w:t>а, укључујући, између осталог, и самопроцјену адекватности:</w:t>
            </w:r>
          </w:p>
          <w:p w14:paraId="528A8D2A" w14:textId="77777777" w:rsidR="00E451C1" w:rsidRPr="001B11AB" w:rsidRDefault="00E451C1" w:rsidP="00897F23">
            <w:pPr>
              <w:pStyle w:val="ListParagraph"/>
              <w:numPr>
                <w:ilvl w:val="0"/>
                <w:numId w:val="31"/>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управљања </w:t>
            </w:r>
            <w:r w:rsidRPr="001B11AB">
              <w:rPr>
                <w:rFonts w:ascii="Times New Roman" w:hAnsi="Times New Roman" w:cs="Times New Roman"/>
                <w:i/>
                <w:sz w:val="20"/>
                <w:szCs w:val="20"/>
              </w:rPr>
              <w:t>ICAAP</w:t>
            </w:r>
            <w:r w:rsidRPr="001B11AB">
              <w:rPr>
                <w:rFonts w:ascii="Times New Roman" w:hAnsi="Times New Roman" w:cs="Times New Roman"/>
                <w:i/>
                <w:sz w:val="20"/>
                <w:szCs w:val="20"/>
                <w:lang w:val="sr-Cyrl-BA"/>
              </w:rPr>
              <w:t>-ом (планирање провођења активности),</w:t>
            </w:r>
          </w:p>
          <w:p w14:paraId="2856733A" w14:textId="19677D4B" w:rsidR="00540C0A" w:rsidRPr="001B11AB" w:rsidRDefault="00540C0A" w:rsidP="00897F23">
            <w:pPr>
              <w:pStyle w:val="ListParagraph"/>
              <w:numPr>
                <w:ilvl w:val="0"/>
                <w:numId w:val="31"/>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расподјеле надлежности и одговорности у вези са провођењем </w:t>
            </w:r>
            <w:r w:rsidRPr="001B11AB">
              <w:rPr>
                <w:rFonts w:ascii="Times New Roman" w:hAnsi="Times New Roman" w:cs="Times New Roman"/>
                <w:i/>
                <w:sz w:val="20"/>
                <w:szCs w:val="20"/>
                <w:lang w:val="sr-Latn-BA"/>
              </w:rPr>
              <w:t>ICAAP-</w:t>
            </w:r>
            <w:r w:rsidRPr="001B11AB">
              <w:rPr>
                <w:rFonts w:ascii="Times New Roman" w:hAnsi="Times New Roman" w:cs="Times New Roman"/>
                <w:i/>
                <w:sz w:val="20"/>
                <w:szCs w:val="20"/>
                <w:lang w:val="sr-Cyrl-BA"/>
              </w:rPr>
              <w:t>а из</w:t>
            </w:r>
            <w:r w:rsidR="004746FF" w:rsidRPr="001B11AB">
              <w:rPr>
                <w:rFonts w:ascii="Times New Roman" w:hAnsi="Times New Roman" w:cs="Times New Roman"/>
                <w:i/>
                <w:sz w:val="20"/>
                <w:szCs w:val="20"/>
                <w:lang w:val="sr-Cyrl-BA"/>
              </w:rPr>
              <w:t xml:space="preserve">међу различитих организационих </w:t>
            </w:r>
            <w:r w:rsidRPr="001B11AB">
              <w:rPr>
                <w:rFonts w:ascii="Times New Roman" w:hAnsi="Times New Roman" w:cs="Times New Roman"/>
                <w:i/>
                <w:sz w:val="20"/>
                <w:szCs w:val="20"/>
                <w:lang w:val="sr-Cyrl-BA"/>
              </w:rPr>
              <w:t>јединица унутар банке, те управе банке и надзорног одбора (и одбора основаних од стране надзорног одбора</w:t>
            </w:r>
            <w:r w:rsidR="00BB7ABE" w:rsidRPr="001B11AB">
              <w:rPr>
                <w:rFonts w:ascii="Times New Roman" w:hAnsi="Times New Roman" w:cs="Times New Roman"/>
                <w:i/>
                <w:sz w:val="20"/>
                <w:szCs w:val="20"/>
                <w:lang w:val="sr-Cyrl-BA"/>
              </w:rPr>
              <w:t>,</w:t>
            </w:r>
            <w:r w:rsidR="004746FF" w:rsidRPr="001B11AB">
              <w:rPr>
                <w:rFonts w:ascii="Times New Roman" w:hAnsi="Times New Roman" w:cs="Times New Roman"/>
                <w:i/>
                <w:sz w:val="20"/>
                <w:szCs w:val="20"/>
                <w:lang w:val="sr-Cyrl-BA"/>
              </w:rPr>
              <w:t xml:space="preserve"> уколико је примјењиво</w:t>
            </w:r>
            <w:r w:rsidRPr="001B11AB">
              <w:rPr>
                <w:rFonts w:ascii="Times New Roman" w:hAnsi="Times New Roman" w:cs="Times New Roman"/>
                <w:i/>
                <w:sz w:val="20"/>
                <w:szCs w:val="20"/>
                <w:lang w:val="sr-Cyrl-BA"/>
              </w:rPr>
              <w:t>),</w:t>
            </w:r>
          </w:p>
          <w:p w14:paraId="178F5249" w14:textId="77777777" w:rsidR="00E451C1" w:rsidRPr="001B11AB" w:rsidRDefault="00E451C1" w:rsidP="00897F23">
            <w:pPr>
              <w:pStyle w:val="ListParagraph"/>
              <w:numPr>
                <w:ilvl w:val="0"/>
                <w:numId w:val="31"/>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начина утврђивања значајних ризика,</w:t>
            </w:r>
          </w:p>
          <w:p w14:paraId="705488AB" w14:textId="77777777" w:rsidR="00E451C1" w:rsidRPr="001B11AB" w:rsidRDefault="00E451C1" w:rsidP="00897F23">
            <w:pPr>
              <w:pStyle w:val="ListParagraph"/>
              <w:numPr>
                <w:ilvl w:val="0"/>
                <w:numId w:val="31"/>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коришћења методологија за мјерење/</w:t>
            </w:r>
            <w:r w:rsidR="005D0A83" w:rsidRPr="001B11AB">
              <w:rPr>
                <w:rFonts w:ascii="Times New Roman" w:hAnsi="Times New Roman" w:cs="Times New Roman"/>
                <w:i/>
                <w:sz w:val="20"/>
                <w:szCs w:val="20"/>
                <w:lang w:val="ru-RU"/>
              </w:rPr>
              <w:t xml:space="preserve"> </w:t>
            </w:r>
            <w:r w:rsidRPr="001B11AB">
              <w:rPr>
                <w:rFonts w:ascii="Times New Roman" w:hAnsi="Times New Roman" w:cs="Times New Roman"/>
                <w:i/>
                <w:sz w:val="20"/>
                <w:szCs w:val="20"/>
                <w:lang w:val="ru-RU"/>
              </w:rPr>
              <w:t>процјену ризика и начина укључивања резултата тестирања отпорности на стрес прилик</w:t>
            </w:r>
            <w:r w:rsidR="004746FF" w:rsidRPr="001B11AB">
              <w:rPr>
                <w:rFonts w:ascii="Times New Roman" w:hAnsi="Times New Roman" w:cs="Times New Roman"/>
                <w:i/>
                <w:sz w:val="20"/>
                <w:szCs w:val="20"/>
                <w:lang w:val="ru-RU"/>
              </w:rPr>
              <w:t>о</w:t>
            </w:r>
            <w:r w:rsidRPr="001B11AB">
              <w:rPr>
                <w:rFonts w:ascii="Times New Roman" w:hAnsi="Times New Roman" w:cs="Times New Roman"/>
                <w:i/>
                <w:sz w:val="20"/>
                <w:szCs w:val="20"/>
                <w:lang w:val="ru-RU"/>
              </w:rPr>
              <w:t>м утврђивања интерних капиталних захтјева,</w:t>
            </w:r>
          </w:p>
          <w:p w14:paraId="760BF344" w14:textId="77777777" w:rsidR="00540C0A" w:rsidRPr="001B11AB" w:rsidRDefault="00E451C1" w:rsidP="00897F23">
            <w:pPr>
              <w:pStyle w:val="ListParagraph"/>
              <w:numPr>
                <w:ilvl w:val="0"/>
                <w:numId w:val="31"/>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начина коришћења резултата </w:t>
            </w:r>
            <w:r w:rsidRPr="001B11AB">
              <w:rPr>
                <w:rFonts w:ascii="Times New Roman" w:hAnsi="Times New Roman" w:cs="Times New Roman"/>
                <w:i/>
                <w:sz w:val="20"/>
                <w:szCs w:val="20"/>
              </w:rPr>
              <w:t>ICAAP</w:t>
            </w:r>
            <w:r w:rsidRPr="001B11AB">
              <w:rPr>
                <w:rFonts w:ascii="Times New Roman" w:hAnsi="Times New Roman" w:cs="Times New Roman"/>
                <w:i/>
                <w:sz w:val="20"/>
                <w:szCs w:val="20"/>
                <w:lang w:val="sr-Cyrl-BA"/>
              </w:rPr>
              <w:t xml:space="preserve">-а приликом доношења пословних одлука и </w:t>
            </w:r>
            <w:r w:rsidR="00F6703C" w:rsidRPr="001B11AB">
              <w:rPr>
                <w:rFonts w:ascii="Times New Roman" w:hAnsi="Times New Roman" w:cs="Times New Roman"/>
                <w:i/>
                <w:sz w:val="20"/>
                <w:szCs w:val="20"/>
                <w:lang w:val="sr-Cyrl-BA"/>
              </w:rPr>
              <w:t>сл</w:t>
            </w:r>
            <w:r w:rsidR="006C44CF" w:rsidRPr="001B11AB">
              <w:rPr>
                <w:rFonts w:ascii="Times New Roman" w:hAnsi="Times New Roman" w:cs="Times New Roman"/>
                <w:i/>
                <w:sz w:val="20"/>
                <w:szCs w:val="20"/>
                <w:lang w:val="sr-Cyrl-BA"/>
              </w:rPr>
              <w:t>ично</w:t>
            </w:r>
            <w:r w:rsidRPr="001B11AB">
              <w:rPr>
                <w:rFonts w:ascii="Times New Roman" w:hAnsi="Times New Roman" w:cs="Times New Roman"/>
                <w:i/>
                <w:sz w:val="20"/>
                <w:szCs w:val="20"/>
                <w:lang w:val="sr-Cyrl-BA"/>
              </w:rPr>
              <w:t>.</w:t>
            </w:r>
          </w:p>
        </w:tc>
      </w:tr>
    </w:tbl>
    <w:p w14:paraId="3114E195" w14:textId="77777777" w:rsidR="00E740BB" w:rsidRPr="001B11AB" w:rsidRDefault="00E740BB" w:rsidP="00897F23">
      <w:pPr>
        <w:spacing w:after="0" w:line="240" w:lineRule="auto"/>
        <w:jc w:val="both"/>
        <w:rPr>
          <w:rFonts w:ascii="Times New Roman" w:hAnsi="Times New Roman" w:cs="Times New Roman"/>
          <w:lang w:val="ru-RU"/>
        </w:rPr>
      </w:pPr>
    </w:p>
    <w:tbl>
      <w:tblPr>
        <w:tblStyle w:val="TableGrid"/>
        <w:tblW w:w="9464" w:type="dxa"/>
        <w:tblLook w:val="04A0" w:firstRow="1" w:lastRow="0" w:firstColumn="1" w:lastColumn="0" w:noHBand="0" w:noVBand="1"/>
      </w:tblPr>
      <w:tblGrid>
        <w:gridCol w:w="9464"/>
      </w:tblGrid>
      <w:tr w:rsidR="005C6636" w:rsidRPr="001B11AB" w14:paraId="01B32312" w14:textId="77777777" w:rsidTr="001824A7">
        <w:tc>
          <w:tcPr>
            <w:tcW w:w="9464" w:type="dxa"/>
            <w:tcBorders>
              <w:bottom w:val="single" w:sz="4" w:space="0" w:color="auto"/>
            </w:tcBorders>
            <w:shd w:val="clear" w:color="auto" w:fill="D9D9D9" w:themeFill="background1" w:themeFillShade="D9"/>
          </w:tcPr>
          <w:p w14:paraId="091EE7E6"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b/>
                <w:sz w:val="20"/>
                <w:szCs w:val="20"/>
              </w:rPr>
              <w:t>1.8. Остале информације</w:t>
            </w:r>
          </w:p>
        </w:tc>
      </w:tr>
      <w:tr w:rsidR="005C6636" w:rsidRPr="001B11AB" w14:paraId="6E88BA21" w14:textId="77777777" w:rsidTr="006F4726">
        <w:tc>
          <w:tcPr>
            <w:tcW w:w="9464" w:type="dxa"/>
            <w:shd w:val="clear" w:color="auto" w:fill="auto"/>
          </w:tcPr>
          <w:p w14:paraId="50552C13"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остале информације и резултате ICAAP-а који нису обухваћени у осталим дијеловима овог извјештаја.]</w:t>
            </w:r>
          </w:p>
        </w:tc>
      </w:tr>
      <w:tr w:rsidR="005C6636" w:rsidRPr="001B11AB" w14:paraId="1B2B5DCF" w14:textId="77777777" w:rsidTr="006F4726">
        <w:tc>
          <w:tcPr>
            <w:tcW w:w="9464" w:type="dxa"/>
            <w:shd w:val="clear" w:color="auto" w:fill="auto"/>
          </w:tcPr>
          <w:p w14:paraId="0E59840B" w14:textId="2074784F" w:rsidR="00392819" w:rsidRPr="001B11AB" w:rsidRDefault="00392819" w:rsidP="00BB7ABE">
            <w:pPr>
              <w:spacing w:after="60"/>
              <w:jc w:val="both"/>
              <w:rPr>
                <w:rFonts w:ascii="Times New Roman" w:hAnsi="Times New Roman" w:cs="Times New Roman"/>
                <w:i/>
                <w:sz w:val="20"/>
                <w:szCs w:val="20"/>
                <w:lang w:val="ru-RU"/>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BB7ABE"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у </w:t>
            </w:r>
            <w:r w:rsidR="004746FF" w:rsidRPr="001B11AB">
              <w:rPr>
                <w:rFonts w:ascii="Times New Roman" w:hAnsi="Times New Roman" w:cs="Times New Roman"/>
                <w:i/>
                <w:sz w:val="20"/>
                <w:szCs w:val="20"/>
                <w:lang w:val="ru-RU"/>
              </w:rPr>
              <w:t>овом дијелу</w:t>
            </w:r>
            <w:r w:rsidRPr="001B11AB">
              <w:rPr>
                <w:rFonts w:ascii="Times New Roman" w:hAnsi="Times New Roman" w:cs="Times New Roman"/>
                <w:i/>
                <w:sz w:val="20"/>
                <w:szCs w:val="20"/>
                <w:lang w:val="ru-RU"/>
              </w:rPr>
              <w:t xml:space="preserve"> може навести статус извршења налога Агенције у вези са управљањем и руковођењем,</w:t>
            </w:r>
            <w:r w:rsidR="00D51513" w:rsidRPr="001B11AB">
              <w:rPr>
                <w:rFonts w:ascii="Times New Roman" w:hAnsi="Times New Roman" w:cs="Times New Roman"/>
                <w:i/>
                <w:sz w:val="20"/>
                <w:szCs w:val="20"/>
                <w:lang w:val="ru-RU"/>
              </w:rPr>
              <w:t xml:space="preserve"> </w:t>
            </w:r>
            <w:r w:rsidRPr="001B11AB">
              <w:rPr>
                <w:rFonts w:ascii="Times New Roman" w:hAnsi="Times New Roman" w:cs="Times New Roman"/>
                <w:i/>
                <w:sz w:val="20"/>
                <w:szCs w:val="20"/>
                <w:lang w:val="ru-RU"/>
              </w:rPr>
              <w:t xml:space="preserve">управљањем ризицима, капиталом и сл. Такође, </w:t>
            </w:r>
            <w:r w:rsidR="00F6703C" w:rsidRPr="001B11AB">
              <w:rPr>
                <w:rFonts w:ascii="Times New Roman" w:hAnsi="Times New Roman" w:cs="Times New Roman"/>
                <w:i/>
                <w:sz w:val="20"/>
                <w:szCs w:val="20"/>
                <w:lang w:val="ru-RU"/>
              </w:rPr>
              <w:t xml:space="preserve">наводи </w:t>
            </w:r>
            <w:r w:rsidRPr="001B11AB">
              <w:rPr>
                <w:rFonts w:ascii="Times New Roman" w:hAnsi="Times New Roman" w:cs="Times New Roman"/>
                <w:i/>
                <w:sz w:val="20"/>
                <w:szCs w:val="20"/>
                <w:lang w:val="ru-RU"/>
              </w:rPr>
              <w:t xml:space="preserve">и специфичне области које се односе на </w:t>
            </w:r>
            <w:r w:rsidR="00F6703C" w:rsidRPr="001B11AB">
              <w:rPr>
                <w:rFonts w:ascii="Times New Roman" w:hAnsi="Times New Roman" w:cs="Times New Roman"/>
                <w:i/>
                <w:sz w:val="20"/>
                <w:szCs w:val="20"/>
                <w:lang w:val="ru-RU"/>
              </w:rPr>
              <w:t xml:space="preserve">информатичку подршку за потребе провођења </w:t>
            </w:r>
            <w:r w:rsidR="00F6703C" w:rsidRPr="001B11AB">
              <w:rPr>
                <w:rFonts w:ascii="Times New Roman" w:hAnsi="Times New Roman" w:cs="Times New Roman"/>
                <w:i/>
                <w:sz w:val="20"/>
                <w:szCs w:val="20"/>
                <w:lang w:val="sr-Cyrl-CS"/>
              </w:rPr>
              <w:t xml:space="preserve">ICAAP-а, начин обезбјеђења квалитета података и сл. </w:t>
            </w:r>
          </w:p>
        </w:tc>
      </w:tr>
    </w:tbl>
    <w:p w14:paraId="0ABADA56" w14:textId="77777777" w:rsidR="006B46AF" w:rsidRPr="001B11AB" w:rsidRDefault="006B46AF" w:rsidP="00014E41">
      <w:pPr>
        <w:spacing w:after="0" w:line="240" w:lineRule="auto"/>
        <w:rPr>
          <w:lang w:val="sr-Cyrl-BA"/>
        </w:rPr>
        <w:sectPr w:rsidR="006B46AF" w:rsidRPr="001B11AB" w:rsidSect="006B46AF">
          <w:pgSz w:w="11909" w:h="16834" w:code="9"/>
          <w:pgMar w:top="1418" w:right="1418" w:bottom="1134" w:left="1418" w:header="510" w:footer="397" w:gutter="0"/>
          <w:cols w:space="708"/>
          <w:docGrid w:linePitch="360"/>
        </w:sectPr>
      </w:pPr>
    </w:p>
    <w:p w14:paraId="3543E20B" w14:textId="77777777" w:rsidR="00E740BB" w:rsidRPr="001B11AB" w:rsidRDefault="00E740BB" w:rsidP="00897F23">
      <w:pPr>
        <w:pStyle w:val="Heading2"/>
        <w:numPr>
          <w:ilvl w:val="0"/>
          <w:numId w:val="25"/>
        </w:numPr>
        <w:spacing w:before="0" w:after="120" w:line="240" w:lineRule="auto"/>
        <w:rPr>
          <w:rFonts w:ascii="Times New Roman" w:hAnsi="Times New Roman" w:cs="Times New Roman"/>
          <w:color w:val="auto"/>
          <w:sz w:val="22"/>
          <w:szCs w:val="22"/>
        </w:rPr>
      </w:pPr>
      <w:r w:rsidRPr="001B11AB">
        <w:rPr>
          <w:rFonts w:ascii="Times New Roman" w:hAnsi="Times New Roman" w:cs="Times New Roman"/>
          <w:color w:val="auto"/>
          <w:sz w:val="22"/>
          <w:szCs w:val="22"/>
        </w:rPr>
        <w:lastRenderedPageBreak/>
        <w:t>УПРАВЉАЊЕ</w:t>
      </w:r>
    </w:p>
    <w:tbl>
      <w:tblPr>
        <w:tblStyle w:val="TableGrid"/>
        <w:tblW w:w="9464" w:type="dxa"/>
        <w:tblLook w:val="04A0" w:firstRow="1" w:lastRow="0" w:firstColumn="1" w:lastColumn="0" w:noHBand="0" w:noVBand="1"/>
      </w:tblPr>
      <w:tblGrid>
        <w:gridCol w:w="9464"/>
      </w:tblGrid>
      <w:tr w:rsidR="005C6636" w:rsidRPr="001B11AB" w14:paraId="2371A3ED" w14:textId="77777777" w:rsidTr="001824A7">
        <w:tc>
          <w:tcPr>
            <w:tcW w:w="9464" w:type="dxa"/>
            <w:tcBorders>
              <w:bottom w:val="single" w:sz="4" w:space="0" w:color="auto"/>
            </w:tcBorders>
            <w:shd w:val="clear" w:color="auto" w:fill="D9D9D9" w:themeFill="background1" w:themeFillShade="D9"/>
          </w:tcPr>
          <w:p w14:paraId="0843932C"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b/>
                <w:sz w:val="20"/>
                <w:szCs w:val="20"/>
              </w:rPr>
              <w:t>2.1. Организациона структура</w:t>
            </w:r>
          </w:p>
        </w:tc>
      </w:tr>
      <w:tr w:rsidR="005C6636" w:rsidRPr="001B11AB" w14:paraId="7D888ABB" w14:textId="77777777" w:rsidTr="00F6703C">
        <w:trPr>
          <w:trHeight w:val="821"/>
        </w:trPr>
        <w:tc>
          <w:tcPr>
            <w:tcW w:w="9464" w:type="dxa"/>
            <w:shd w:val="clear" w:color="auto" w:fill="auto"/>
          </w:tcPr>
          <w:p w14:paraId="59AA83A1" w14:textId="23DA0909" w:rsidR="009E5862" w:rsidRPr="001B11AB" w:rsidRDefault="009E5862" w:rsidP="00BB7ABE">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00BB7ABE" w:rsidRPr="001B11AB">
              <w:rPr>
                <w:rFonts w:ascii="Times New Roman" w:hAnsi="Times New Roman" w:cs="Times New Roman"/>
                <w:i/>
                <w:sz w:val="20"/>
                <w:szCs w:val="20"/>
                <w:lang w:val="sr-Cyrl-CS"/>
              </w:rPr>
              <w:t>У</w:t>
            </w:r>
            <w:r w:rsidRPr="001B11AB">
              <w:rPr>
                <w:rFonts w:ascii="Times New Roman" w:hAnsi="Times New Roman" w:cs="Times New Roman"/>
                <w:i/>
                <w:sz w:val="20"/>
                <w:szCs w:val="20"/>
                <w:lang w:val="sr-Cyrl-CS"/>
              </w:rPr>
              <w:t xml:space="preserve"> прилогу овог извјештаја </w:t>
            </w:r>
            <w:r w:rsidR="00BB7ABE" w:rsidRPr="001B11AB">
              <w:rPr>
                <w:rFonts w:ascii="Times New Roman" w:hAnsi="Times New Roman" w:cs="Times New Roman"/>
                <w:i/>
                <w:sz w:val="20"/>
                <w:szCs w:val="20"/>
                <w:lang w:val="sr-Cyrl-CS"/>
              </w:rPr>
              <w:t>банка доставља детаљну организациону шему</w:t>
            </w:r>
            <w:r w:rsidRPr="001B11AB">
              <w:rPr>
                <w:rFonts w:ascii="Times New Roman" w:hAnsi="Times New Roman" w:cs="Times New Roman"/>
                <w:i/>
                <w:sz w:val="20"/>
                <w:szCs w:val="20"/>
                <w:lang w:val="sr-Cyrl-CS"/>
              </w:rPr>
              <w:t xml:space="preserve"> те опис позиција и припадајућих обавеза и одговорности </w:t>
            </w:r>
            <w:r w:rsidR="00BB7ABE" w:rsidRPr="001B11AB">
              <w:rPr>
                <w:rFonts w:ascii="Times New Roman" w:hAnsi="Times New Roman" w:cs="Times New Roman"/>
                <w:i/>
                <w:sz w:val="20"/>
                <w:szCs w:val="20"/>
                <w:lang w:val="sr-Cyrl-CS"/>
              </w:rPr>
              <w:t xml:space="preserve">својих </w:t>
            </w:r>
            <w:r w:rsidRPr="001B11AB">
              <w:rPr>
                <w:rFonts w:ascii="Times New Roman" w:hAnsi="Times New Roman" w:cs="Times New Roman"/>
                <w:i/>
                <w:sz w:val="20"/>
                <w:szCs w:val="20"/>
                <w:lang w:val="sr-Cyrl-CS"/>
              </w:rPr>
              <w:t>руководних</w:t>
            </w:r>
            <w:r w:rsidR="009C2062"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органа и одбора. Дијаграм линија извјештавања у вези са управљањем ризицима и ICAAP-ом наводи се у овом дијелу или уз организациону шему.]</w:t>
            </w:r>
          </w:p>
        </w:tc>
      </w:tr>
      <w:tr w:rsidR="005C6636" w:rsidRPr="001B11AB" w14:paraId="62D14599" w14:textId="77777777" w:rsidTr="006F4726">
        <w:tc>
          <w:tcPr>
            <w:tcW w:w="9464" w:type="dxa"/>
            <w:shd w:val="clear" w:color="auto" w:fill="auto"/>
          </w:tcPr>
          <w:p w14:paraId="7A3F2091" w14:textId="431AEF0C" w:rsidR="00E740BB" w:rsidRPr="001B11AB" w:rsidRDefault="00E740BB" w:rsidP="00BB7ABE">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w:t>
            </w:r>
            <w:r w:rsidR="00BB7ABE" w:rsidRPr="001B11AB">
              <w:rPr>
                <w:rFonts w:ascii="Times New Roman" w:hAnsi="Times New Roman" w:cs="Times New Roman"/>
                <w:i/>
                <w:sz w:val="20"/>
                <w:szCs w:val="20"/>
                <w:lang w:val="sr-Cyrl-CS"/>
              </w:rPr>
              <w:t xml:space="preserve">сљедеће: </w:t>
            </w:r>
            <w:r w:rsidRPr="001B11AB">
              <w:rPr>
                <w:rFonts w:ascii="Times New Roman" w:hAnsi="Times New Roman" w:cs="Times New Roman"/>
                <w:i/>
                <w:sz w:val="20"/>
                <w:szCs w:val="20"/>
                <w:lang w:val="sr-Cyrl-CS"/>
              </w:rPr>
              <w:t>начин на који је успостављен ICAAP</w:t>
            </w:r>
            <w:r w:rsidR="00BB7ABE"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факторе који су узети у обзир при дефинисању ICAAP-а</w:t>
            </w:r>
            <w:r w:rsidR="00BB7ABE"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w:t>
            </w:r>
            <w:r w:rsidR="00BB7ABE" w:rsidRPr="001B11AB">
              <w:rPr>
                <w:rFonts w:ascii="Times New Roman" w:hAnsi="Times New Roman" w:cs="Times New Roman"/>
                <w:i/>
                <w:sz w:val="20"/>
                <w:szCs w:val="20"/>
                <w:lang w:val="sr-Cyrl-CS"/>
              </w:rPr>
              <w:t xml:space="preserve">податке о томе </w:t>
            </w:r>
            <w:r w:rsidRPr="001B11AB">
              <w:rPr>
                <w:rFonts w:ascii="Times New Roman" w:hAnsi="Times New Roman" w:cs="Times New Roman"/>
                <w:i/>
                <w:sz w:val="20"/>
                <w:szCs w:val="20"/>
                <w:lang w:val="sr-Cyrl-CS"/>
              </w:rPr>
              <w:t>колико се често ICAAP проводи</w:t>
            </w:r>
            <w:r w:rsidR="00BB7ABE"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списак</w:t>
            </w:r>
            <w:r w:rsidR="00BB7ABE" w:rsidRPr="001B11AB">
              <w:rPr>
                <w:rFonts w:ascii="Times New Roman" w:hAnsi="Times New Roman" w:cs="Times New Roman"/>
                <w:i/>
                <w:sz w:val="20"/>
                <w:szCs w:val="20"/>
                <w:lang w:val="sr-Cyrl-CS"/>
              </w:rPr>
              <w:t xml:space="preserve"> извјештаја везаних уз ICAAP</w:t>
            </w:r>
            <w:r w:rsidRPr="001B11AB">
              <w:rPr>
                <w:rFonts w:ascii="Times New Roman" w:hAnsi="Times New Roman" w:cs="Times New Roman"/>
                <w:i/>
                <w:sz w:val="20"/>
                <w:szCs w:val="20"/>
                <w:lang w:val="sr-Cyrl-CS"/>
              </w:rPr>
              <w:t xml:space="preserve"> </w:t>
            </w:r>
            <w:r w:rsidR="00BB7ABE" w:rsidRPr="001B11AB">
              <w:rPr>
                <w:rFonts w:ascii="Times New Roman" w:hAnsi="Times New Roman" w:cs="Times New Roman"/>
                <w:i/>
                <w:sz w:val="20"/>
                <w:szCs w:val="20"/>
                <w:lang w:val="sr-Cyrl-CS"/>
              </w:rPr>
              <w:t>и</w:t>
            </w:r>
            <w:r w:rsidRPr="001B11AB">
              <w:rPr>
                <w:rFonts w:ascii="Times New Roman" w:hAnsi="Times New Roman" w:cs="Times New Roman"/>
                <w:i/>
                <w:sz w:val="20"/>
                <w:szCs w:val="20"/>
                <w:lang w:val="sr-Cyrl-CS"/>
              </w:rPr>
              <w:t xml:space="preserve"> колико се често они састављају и коме се достављају</w:t>
            </w:r>
            <w:r w:rsidR="00BB7ABE"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интерне акте којима је дефин</w:t>
            </w:r>
            <w:r w:rsidR="00BB7ABE" w:rsidRPr="001B11AB">
              <w:rPr>
                <w:rFonts w:ascii="Times New Roman" w:hAnsi="Times New Roman" w:cs="Times New Roman"/>
                <w:i/>
                <w:sz w:val="20"/>
                <w:szCs w:val="20"/>
                <w:lang w:val="sr-Cyrl-CS"/>
              </w:rPr>
              <w:t>исан начин успостављања ICAAP-а</w:t>
            </w:r>
            <w:r w:rsidRPr="001B11AB">
              <w:rPr>
                <w:rFonts w:ascii="Times New Roman" w:hAnsi="Times New Roman" w:cs="Times New Roman"/>
                <w:i/>
                <w:sz w:val="20"/>
                <w:szCs w:val="20"/>
                <w:lang w:val="sr-Cyrl-CS"/>
              </w:rPr>
              <w:t xml:space="preserve"> те опис овлаш</w:t>
            </w:r>
            <w:r w:rsidR="00DD11A3" w:rsidRPr="001B11AB">
              <w:rPr>
                <w:rFonts w:ascii="Times New Roman" w:hAnsi="Times New Roman" w:cs="Times New Roman"/>
                <w:i/>
                <w:sz w:val="20"/>
                <w:szCs w:val="20"/>
                <w:lang w:val="sr-Cyrl-CS"/>
              </w:rPr>
              <w:t>ћ</w:t>
            </w:r>
            <w:r w:rsidRPr="001B11AB">
              <w:rPr>
                <w:rFonts w:ascii="Times New Roman" w:hAnsi="Times New Roman" w:cs="Times New Roman"/>
                <w:i/>
                <w:sz w:val="20"/>
                <w:szCs w:val="20"/>
                <w:lang w:val="sr-Cyrl-CS"/>
              </w:rPr>
              <w:t>ења и одговорности везаних уз ICAAP.]</w:t>
            </w:r>
          </w:p>
        </w:tc>
      </w:tr>
      <w:tr w:rsidR="005C6636" w:rsidRPr="001B11AB" w14:paraId="59116B75" w14:textId="77777777" w:rsidTr="006F4726">
        <w:tc>
          <w:tcPr>
            <w:tcW w:w="9464" w:type="dxa"/>
            <w:shd w:val="clear" w:color="auto" w:fill="auto"/>
          </w:tcPr>
          <w:p w14:paraId="1167E037" w14:textId="77777777" w:rsidR="00E740BB" w:rsidRPr="001B11AB" w:rsidRDefault="00E740BB" w:rsidP="00897F23">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Описати улогу надзорног одбора и управе банке у ICAAP-у. Описати улогу одбора које оснива надзорни одбор или управа, а који учествују у ICAAP-у. Навести које одлуке надзорни одбор или управа банке доносе или су донијели на основу анализе извјештаја везаних за ICAAP.]</w:t>
            </w:r>
          </w:p>
        </w:tc>
      </w:tr>
      <w:tr w:rsidR="005C6636" w:rsidRPr="001B11AB" w14:paraId="164D6ACD" w14:textId="77777777" w:rsidTr="006F4726">
        <w:tc>
          <w:tcPr>
            <w:tcW w:w="9464" w:type="dxa"/>
            <w:shd w:val="clear" w:color="auto" w:fill="auto"/>
          </w:tcPr>
          <w:p w14:paraId="0C543A4E" w14:textId="77777777" w:rsidR="00E740BB" w:rsidRPr="001B11AB" w:rsidRDefault="00E740BB" w:rsidP="00897F23">
            <w:pPr>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Описати улогу вишег руководства у ICAAP-у.]</w:t>
            </w:r>
          </w:p>
        </w:tc>
      </w:tr>
      <w:tr w:rsidR="005C6636" w:rsidRPr="001B11AB" w14:paraId="2C61CF43" w14:textId="77777777" w:rsidTr="006F4726">
        <w:tc>
          <w:tcPr>
            <w:tcW w:w="9464" w:type="dxa"/>
            <w:shd w:val="clear" w:color="auto" w:fill="auto"/>
          </w:tcPr>
          <w:p w14:paraId="3306F13F"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резултате самопроцјене адекватности властите организационе структуре, уз навођење недостатака.]</w:t>
            </w:r>
          </w:p>
        </w:tc>
      </w:tr>
      <w:tr w:rsidR="005C6636" w:rsidRPr="001B11AB" w14:paraId="114232DB" w14:textId="77777777" w:rsidTr="00E92210">
        <w:tc>
          <w:tcPr>
            <w:tcW w:w="9464" w:type="dxa"/>
            <w:shd w:val="clear" w:color="auto" w:fill="F2F2F2" w:themeFill="background1" w:themeFillShade="F2"/>
          </w:tcPr>
          <w:p w14:paraId="3F58FADB" w14:textId="50F8563C" w:rsidR="00A06A77" w:rsidRPr="001B11AB" w:rsidRDefault="00A87AEE"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b/>
                <w:i/>
                <w:sz w:val="20"/>
                <w:szCs w:val="20"/>
                <w:lang w:val="ru-RU"/>
              </w:rPr>
              <w:t>Напомена:</w:t>
            </w:r>
            <w:r w:rsidR="00CC646B" w:rsidRPr="001B11AB">
              <w:rPr>
                <w:rFonts w:ascii="Times New Roman" w:hAnsi="Times New Roman" w:cs="Times New Roman"/>
                <w:i/>
                <w:sz w:val="20"/>
                <w:szCs w:val="20"/>
                <w:lang w:val="ru-RU"/>
              </w:rPr>
              <w:t xml:space="preserve"> </w:t>
            </w:r>
            <w:r w:rsidR="00BB7ABE"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у овом </w:t>
            </w:r>
            <w:r w:rsidR="004746FF" w:rsidRPr="001B11AB">
              <w:rPr>
                <w:rFonts w:ascii="Times New Roman" w:hAnsi="Times New Roman" w:cs="Times New Roman"/>
                <w:i/>
                <w:sz w:val="20"/>
                <w:szCs w:val="20"/>
                <w:lang w:val="ru-RU"/>
              </w:rPr>
              <w:t>дијелу</w:t>
            </w:r>
            <w:r w:rsidRPr="001B11AB">
              <w:rPr>
                <w:rFonts w:ascii="Times New Roman" w:hAnsi="Times New Roman" w:cs="Times New Roman"/>
                <w:i/>
                <w:sz w:val="20"/>
                <w:szCs w:val="20"/>
                <w:lang w:val="ru-RU"/>
              </w:rPr>
              <w:t xml:space="preserve"> треба детаљно да објасни</w:t>
            </w:r>
            <w:r w:rsidR="00A06A77" w:rsidRPr="001B11AB">
              <w:rPr>
                <w:rFonts w:ascii="Times New Roman" w:hAnsi="Times New Roman" w:cs="Times New Roman"/>
                <w:i/>
                <w:sz w:val="20"/>
                <w:szCs w:val="20"/>
                <w:lang w:val="ru-RU"/>
              </w:rPr>
              <w:t xml:space="preserve"> систем управљања у банци, </w:t>
            </w:r>
            <w:r w:rsidR="00730D9C" w:rsidRPr="001B11AB">
              <w:rPr>
                <w:rFonts w:ascii="Times New Roman" w:hAnsi="Times New Roman" w:cs="Times New Roman"/>
                <w:i/>
                <w:sz w:val="20"/>
                <w:szCs w:val="20"/>
                <w:lang w:val="ru-RU"/>
              </w:rPr>
              <w:t>односно</w:t>
            </w:r>
            <w:r w:rsidRPr="001B11AB">
              <w:rPr>
                <w:rFonts w:ascii="Times New Roman" w:hAnsi="Times New Roman" w:cs="Times New Roman"/>
                <w:i/>
                <w:sz w:val="20"/>
                <w:szCs w:val="20"/>
                <w:lang w:val="ru-RU"/>
              </w:rPr>
              <w:t xml:space="preserve"> своју организациону структуру и одговорности свих организационих јединица/</w:t>
            </w:r>
            <w:r w:rsidR="005D0A83" w:rsidRPr="001B11AB">
              <w:rPr>
                <w:rFonts w:ascii="Times New Roman" w:hAnsi="Times New Roman" w:cs="Times New Roman"/>
                <w:i/>
                <w:sz w:val="20"/>
                <w:szCs w:val="20"/>
                <w:lang w:val="ru-RU"/>
              </w:rPr>
              <w:t xml:space="preserve"> </w:t>
            </w:r>
            <w:r w:rsidR="00CC646B" w:rsidRPr="001B11AB">
              <w:rPr>
                <w:rFonts w:ascii="Times New Roman" w:hAnsi="Times New Roman" w:cs="Times New Roman"/>
                <w:i/>
                <w:sz w:val="20"/>
                <w:szCs w:val="20"/>
                <w:lang w:val="ru-RU"/>
              </w:rPr>
              <w:t>тијела/</w:t>
            </w:r>
            <w:r w:rsidR="00BB7ABE" w:rsidRPr="001B11AB">
              <w:rPr>
                <w:rFonts w:ascii="Times New Roman" w:hAnsi="Times New Roman" w:cs="Times New Roman"/>
                <w:i/>
                <w:sz w:val="20"/>
                <w:szCs w:val="20"/>
                <w:lang w:val="ru-RU"/>
              </w:rPr>
              <w:t xml:space="preserve"> </w:t>
            </w:r>
            <w:r w:rsidR="00CC646B" w:rsidRPr="001B11AB">
              <w:rPr>
                <w:rFonts w:ascii="Times New Roman" w:hAnsi="Times New Roman" w:cs="Times New Roman"/>
                <w:i/>
                <w:sz w:val="20"/>
                <w:szCs w:val="20"/>
                <w:lang w:val="ru-RU"/>
              </w:rPr>
              <w:t>вишег руководства/</w:t>
            </w:r>
            <w:r w:rsidR="005D0A83" w:rsidRPr="001B11AB">
              <w:rPr>
                <w:rFonts w:ascii="Times New Roman" w:hAnsi="Times New Roman" w:cs="Times New Roman"/>
                <w:i/>
                <w:sz w:val="20"/>
                <w:szCs w:val="20"/>
                <w:lang w:val="ru-RU"/>
              </w:rPr>
              <w:t xml:space="preserve"> </w:t>
            </w:r>
            <w:r w:rsidR="00CC646B" w:rsidRPr="001B11AB">
              <w:rPr>
                <w:rFonts w:ascii="Times New Roman" w:hAnsi="Times New Roman" w:cs="Times New Roman"/>
                <w:i/>
                <w:sz w:val="20"/>
                <w:szCs w:val="20"/>
                <w:lang w:val="ru-RU"/>
              </w:rPr>
              <w:t xml:space="preserve">управе </w:t>
            </w:r>
            <w:r w:rsidR="00A73DDE" w:rsidRPr="001B11AB">
              <w:rPr>
                <w:rFonts w:ascii="Times New Roman" w:hAnsi="Times New Roman" w:cs="Times New Roman"/>
                <w:i/>
                <w:sz w:val="20"/>
                <w:szCs w:val="20"/>
                <w:lang w:val="ru-RU"/>
              </w:rPr>
              <w:t xml:space="preserve">и надзорног одбора, </w:t>
            </w:r>
            <w:r w:rsidR="00730D9C" w:rsidRPr="001B11AB">
              <w:rPr>
                <w:rFonts w:ascii="Times New Roman" w:hAnsi="Times New Roman" w:cs="Times New Roman"/>
                <w:i/>
                <w:sz w:val="20"/>
                <w:szCs w:val="20"/>
                <w:lang w:val="ru-RU"/>
              </w:rPr>
              <w:t xml:space="preserve">нарочито </w:t>
            </w:r>
            <w:r w:rsidRPr="001B11AB">
              <w:rPr>
                <w:rFonts w:ascii="Times New Roman" w:hAnsi="Times New Roman" w:cs="Times New Roman"/>
                <w:i/>
                <w:sz w:val="20"/>
                <w:szCs w:val="20"/>
                <w:lang w:val="ru-RU"/>
              </w:rPr>
              <w:t xml:space="preserve">у погледу управљања ризицима и провођења </w:t>
            </w:r>
            <w:r w:rsidRPr="001B11AB">
              <w:rPr>
                <w:rFonts w:ascii="Times New Roman" w:hAnsi="Times New Roman" w:cs="Times New Roman"/>
                <w:i/>
                <w:sz w:val="20"/>
                <w:szCs w:val="20"/>
                <w:lang w:val="sr-Cyrl-CS"/>
              </w:rPr>
              <w:t>ICAAP-а</w:t>
            </w:r>
            <w:r w:rsidR="00730D9C" w:rsidRPr="001B11AB">
              <w:rPr>
                <w:rFonts w:ascii="Times New Roman" w:hAnsi="Times New Roman" w:cs="Times New Roman"/>
                <w:i/>
                <w:sz w:val="20"/>
                <w:szCs w:val="20"/>
                <w:lang w:val="sr-Cyrl-CS"/>
              </w:rPr>
              <w:t xml:space="preserve">. Потребно је да </w:t>
            </w:r>
            <w:r w:rsidR="00730D9C" w:rsidRPr="001B11AB">
              <w:rPr>
                <w:rFonts w:ascii="Times New Roman" w:hAnsi="Times New Roman" w:cs="Times New Roman"/>
                <w:i/>
                <w:sz w:val="20"/>
                <w:szCs w:val="20"/>
                <w:lang w:val="sr-Cyrl-BA"/>
              </w:rPr>
              <w:t xml:space="preserve">банка детаљно </w:t>
            </w:r>
            <w:r w:rsidR="00730D9C" w:rsidRPr="001B11AB">
              <w:rPr>
                <w:rFonts w:ascii="Times New Roman" w:hAnsi="Times New Roman" w:cs="Times New Roman"/>
                <w:i/>
                <w:sz w:val="20"/>
                <w:szCs w:val="20"/>
                <w:lang w:val="sr-Cyrl-CS"/>
              </w:rPr>
              <w:t xml:space="preserve">објасни начин провођења свих фаза </w:t>
            </w:r>
            <w:r w:rsidR="00730D9C" w:rsidRPr="001B11AB">
              <w:rPr>
                <w:rFonts w:ascii="Times New Roman" w:hAnsi="Times New Roman" w:cs="Times New Roman"/>
                <w:i/>
                <w:sz w:val="20"/>
                <w:szCs w:val="20"/>
                <w:lang w:val="sr-Latn-BA"/>
              </w:rPr>
              <w:t>ICAAP-a</w:t>
            </w:r>
            <w:r w:rsidR="00730D9C" w:rsidRPr="001B11AB">
              <w:rPr>
                <w:rFonts w:ascii="Times New Roman" w:hAnsi="Times New Roman" w:cs="Times New Roman"/>
                <w:i/>
                <w:sz w:val="20"/>
                <w:szCs w:val="20"/>
                <w:lang w:val="sr-Cyrl-BA"/>
              </w:rPr>
              <w:t xml:space="preserve"> и на који </w:t>
            </w:r>
            <w:r w:rsidR="00A73DDE" w:rsidRPr="001B11AB">
              <w:rPr>
                <w:rFonts w:ascii="Times New Roman" w:hAnsi="Times New Roman" w:cs="Times New Roman"/>
                <w:i/>
                <w:sz w:val="20"/>
                <w:szCs w:val="20"/>
                <w:lang w:val="sr-Cyrl-BA"/>
              </w:rPr>
              <w:t xml:space="preserve">су </w:t>
            </w:r>
            <w:r w:rsidR="00730D9C" w:rsidRPr="001B11AB">
              <w:rPr>
                <w:rFonts w:ascii="Times New Roman" w:hAnsi="Times New Roman" w:cs="Times New Roman"/>
                <w:i/>
                <w:sz w:val="20"/>
                <w:szCs w:val="20"/>
                <w:lang w:val="sr-Cyrl-BA"/>
              </w:rPr>
              <w:t>начин одређени организациони дијелови/</w:t>
            </w:r>
            <w:r w:rsidR="00A73DDE" w:rsidRPr="001B11AB">
              <w:rPr>
                <w:rFonts w:ascii="Times New Roman" w:hAnsi="Times New Roman" w:cs="Times New Roman"/>
                <w:i/>
                <w:sz w:val="20"/>
                <w:szCs w:val="20"/>
                <w:lang w:val="sr-Cyrl-BA"/>
              </w:rPr>
              <w:t xml:space="preserve"> </w:t>
            </w:r>
            <w:r w:rsidR="00730D9C" w:rsidRPr="001B11AB">
              <w:rPr>
                <w:rFonts w:ascii="Times New Roman" w:hAnsi="Times New Roman" w:cs="Times New Roman"/>
                <w:i/>
                <w:sz w:val="20"/>
                <w:szCs w:val="20"/>
                <w:lang w:val="sr-Cyrl-BA"/>
              </w:rPr>
              <w:t>тијела/</w:t>
            </w:r>
            <w:r w:rsidR="00A73DDE" w:rsidRPr="001B11AB">
              <w:rPr>
                <w:rFonts w:ascii="Times New Roman" w:hAnsi="Times New Roman" w:cs="Times New Roman"/>
                <w:i/>
                <w:sz w:val="20"/>
                <w:szCs w:val="20"/>
                <w:lang w:val="sr-Cyrl-BA"/>
              </w:rPr>
              <w:t xml:space="preserve"> </w:t>
            </w:r>
            <w:r w:rsidR="00730D9C" w:rsidRPr="001B11AB">
              <w:rPr>
                <w:rFonts w:ascii="Times New Roman" w:hAnsi="Times New Roman" w:cs="Times New Roman"/>
                <w:i/>
                <w:sz w:val="20"/>
                <w:szCs w:val="20"/>
                <w:lang w:val="sr-Cyrl-BA"/>
              </w:rPr>
              <w:t>лица/</w:t>
            </w:r>
            <w:r w:rsidR="00A73DDE" w:rsidRPr="001B11AB">
              <w:rPr>
                <w:rFonts w:ascii="Times New Roman" w:hAnsi="Times New Roman" w:cs="Times New Roman"/>
                <w:i/>
                <w:sz w:val="20"/>
                <w:szCs w:val="20"/>
                <w:lang w:val="sr-Cyrl-BA"/>
              </w:rPr>
              <w:t xml:space="preserve"> </w:t>
            </w:r>
            <w:r w:rsidR="00730D9C" w:rsidRPr="001B11AB">
              <w:rPr>
                <w:rFonts w:ascii="Times New Roman" w:hAnsi="Times New Roman" w:cs="Times New Roman"/>
                <w:i/>
                <w:sz w:val="20"/>
                <w:szCs w:val="20"/>
                <w:lang w:val="sr-Cyrl-BA"/>
              </w:rPr>
              <w:t xml:space="preserve">органи учествовали у провођењу тог поступка. </w:t>
            </w:r>
          </w:p>
          <w:p w14:paraId="539C8244" w14:textId="6CAB5358" w:rsidR="00A87AEE" w:rsidRPr="001B11AB" w:rsidRDefault="00A73DDE"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Ради</w:t>
            </w:r>
            <w:r w:rsidR="00A06A77" w:rsidRPr="001B11AB">
              <w:rPr>
                <w:rFonts w:ascii="Times New Roman" w:hAnsi="Times New Roman" w:cs="Times New Roman"/>
                <w:i/>
                <w:sz w:val="20"/>
                <w:szCs w:val="20"/>
                <w:lang w:val="sr-Cyrl-CS"/>
              </w:rPr>
              <w:t xml:space="preserve"> разумијевања интерних процеса</w:t>
            </w:r>
            <w:r w:rsidRPr="001B11AB">
              <w:rPr>
                <w:rFonts w:ascii="Times New Roman" w:hAnsi="Times New Roman" w:cs="Times New Roman"/>
                <w:i/>
                <w:sz w:val="20"/>
                <w:szCs w:val="20"/>
                <w:lang w:val="sr-Cyrl-CS"/>
              </w:rPr>
              <w:t>,</w:t>
            </w:r>
            <w:r w:rsidR="00A06A77"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 xml:space="preserve">банка треба да </w:t>
            </w:r>
            <w:r w:rsidR="00A06A77" w:rsidRPr="001B11AB">
              <w:rPr>
                <w:rFonts w:ascii="Times New Roman" w:hAnsi="Times New Roman" w:cs="Times New Roman"/>
                <w:i/>
                <w:sz w:val="20"/>
                <w:szCs w:val="20"/>
                <w:lang w:val="sr-Cyrl-CS"/>
              </w:rPr>
              <w:t>детаљно опише линије извјештавања о управљању ризицима</w:t>
            </w:r>
            <w:r w:rsidR="00730D9C" w:rsidRPr="001B11AB">
              <w:rPr>
                <w:rFonts w:ascii="Times New Roman" w:hAnsi="Times New Roman" w:cs="Times New Roman"/>
                <w:i/>
                <w:sz w:val="20"/>
                <w:szCs w:val="20"/>
                <w:lang w:val="sr-Cyrl-CS"/>
              </w:rPr>
              <w:t xml:space="preserve"> и ICAAP-у, те да објасни на који начин се предметни извјештаји</w:t>
            </w:r>
            <w:r w:rsidR="00E86C15" w:rsidRPr="001B11AB">
              <w:rPr>
                <w:rFonts w:ascii="Times New Roman" w:hAnsi="Times New Roman" w:cs="Times New Roman"/>
                <w:i/>
                <w:sz w:val="20"/>
                <w:szCs w:val="20"/>
                <w:lang w:val="sr-Cyrl-CS"/>
              </w:rPr>
              <w:t xml:space="preserve"> и информације</w:t>
            </w:r>
            <w:r w:rsidR="00730D9C" w:rsidRPr="001B11AB">
              <w:rPr>
                <w:rFonts w:ascii="Times New Roman" w:hAnsi="Times New Roman" w:cs="Times New Roman"/>
                <w:i/>
                <w:sz w:val="20"/>
                <w:szCs w:val="20"/>
                <w:lang w:val="sr-Cyrl-CS"/>
              </w:rPr>
              <w:t xml:space="preserve"> користе </w:t>
            </w:r>
            <w:r w:rsidRPr="001B11AB">
              <w:rPr>
                <w:rFonts w:ascii="Times New Roman" w:hAnsi="Times New Roman" w:cs="Times New Roman"/>
                <w:i/>
                <w:sz w:val="20"/>
                <w:szCs w:val="20"/>
                <w:lang w:val="sr-Cyrl-CS"/>
              </w:rPr>
              <w:t>при</w:t>
            </w:r>
            <w:r w:rsidR="00730D9C" w:rsidRPr="001B11AB">
              <w:rPr>
                <w:rFonts w:ascii="Times New Roman" w:hAnsi="Times New Roman" w:cs="Times New Roman"/>
                <w:i/>
                <w:sz w:val="20"/>
                <w:szCs w:val="20"/>
                <w:lang w:val="sr-Cyrl-CS"/>
              </w:rPr>
              <w:t xml:space="preserve"> доношењ</w:t>
            </w:r>
            <w:r w:rsidRPr="001B11AB">
              <w:rPr>
                <w:rFonts w:ascii="Times New Roman" w:hAnsi="Times New Roman" w:cs="Times New Roman"/>
                <w:i/>
                <w:sz w:val="20"/>
                <w:szCs w:val="20"/>
                <w:lang w:val="sr-Cyrl-CS"/>
              </w:rPr>
              <w:t>у</w:t>
            </w:r>
            <w:r w:rsidR="00730D9C" w:rsidRPr="001B11AB">
              <w:rPr>
                <w:rFonts w:ascii="Times New Roman" w:hAnsi="Times New Roman" w:cs="Times New Roman"/>
                <w:i/>
                <w:sz w:val="20"/>
                <w:szCs w:val="20"/>
                <w:lang w:val="sr-Cyrl-CS"/>
              </w:rPr>
              <w:t xml:space="preserve"> одлука</w:t>
            </w:r>
            <w:r w:rsidR="00E86C15" w:rsidRPr="001B11AB">
              <w:rPr>
                <w:rFonts w:ascii="Times New Roman" w:hAnsi="Times New Roman" w:cs="Times New Roman"/>
                <w:i/>
                <w:sz w:val="20"/>
                <w:szCs w:val="20"/>
                <w:lang w:val="sr-Cyrl-CS"/>
              </w:rPr>
              <w:t xml:space="preserve"> (приликом израде стратегија, пословних планова,</w:t>
            </w:r>
            <w:r w:rsidR="006C44CF" w:rsidRPr="001B11AB">
              <w:rPr>
                <w:rFonts w:ascii="Times New Roman" w:hAnsi="Times New Roman" w:cs="Times New Roman"/>
                <w:i/>
                <w:sz w:val="20"/>
                <w:szCs w:val="20"/>
                <w:lang w:val="sr-Cyrl-CS"/>
              </w:rPr>
              <w:t xml:space="preserve"> </w:t>
            </w:r>
            <w:r w:rsidR="00E86C15" w:rsidRPr="001B11AB">
              <w:rPr>
                <w:rFonts w:ascii="Times New Roman" w:hAnsi="Times New Roman" w:cs="Times New Roman"/>
                <w:i/>
                <w:sz w:val="20"/>
                <w:szCs w:val="20"/>
                <w:lang w:val="sr-Cyrl-CS"/>
              </w:rPr>
              <w:t>планова опоравка, политике и праксе накнада, доношења одлука о излагању ризицима</w:t>
            </w:r>
            <w:r w:rsidR="00CB0894" w:rsidRPr="001B11AB">
              <w:rPr>
                <w:rFonts w:ascii="Times New Roman" w:hAnsi="Times New Roman" w:cs="Times New Roman"/>
                <w:i/>
                <w:sz w:val="20"/>
                <w:szCs w:val="20"/>
                <w:lang w:val="sr-Cyrl-CS"/>
              </w:rPr>
              <w:t xml:space="preserve"> и сл.</w:t>
            </w:r>
            <w:r w:rsidR="00E86C15" w:rsidRPr="001B11AB">
              <w:rPr>
                <w:rFonts w:ascii="Times New Roman" w:hAnsi="Times New Roman" w:cs="Times New Roman"/>
                <w:i/>
                <w:sz w:val="20"/>
                <w:szCs w:val="20"/>
                <w:lang w:val="sr-Cyrl-CS"/>
              </w:rPr>
              <w:t>).</w:t>
            </w:r>
          </w:p>
          <w:p w14:paraId="363E5B52" w14:textId="7A015376" w:rsidR="00FD267A" w:rsidRPr="001B11AB" w:rsidRDefault="00E86C15" w:rsidP="00A73DDE">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 xml:space="preserve">Такође, потребно је да банка објасни </w:t>
            </w:r>
            <w:r w:rsidR="00FD267A" w:rsidRPr="001B11AB">
              <w:rPr>
                <w:rFonts w:ascii="Times New Roman" w:hAnsi="Times New Roman" w:cs="Times New Roman"/>
                <w:i/>
                <w:sz w:val="20"/>
                <w:szCs w:val="20"/>
                <w:lang w:val="sr-Cyrl-CS"/>
              </w:rPr>
              <w:t>опис поступака којим</w:t>
            </w:r>
            <w:r w:rsidRPr="001B11AB">
              <w:rPr>
                <w:rFonts w:ascii="Times New Roman" w:hAnsi="Times New Roman" w:cs="Times New Roman"/>
                <w:i/>
                <w:sz w:val="20"/>
                <w:szCs w:val="20"/>
                <w:lang w:val="sr-Cyrl-CS"/>
              </w:rPr>
              <w:t xml:space="preserve"> обезбјеђује </w:t>
            </w:r>
            <w:r w:rsidR="00FD267A" w:rsidRPr="001B11AB">
              <w:rPr>
                <w:rFonts w:ascii="Times New Roman" w:hAnsi="Times New Roman" w:cs="Times New Roman"/>
                <w:i/>
                <w:sz w:val="20"/>
                <w:szCs w:val="20"/>
                <w:lang w:val="sr-Cyrl-CS"/>
              </w:rPr>
              <w:t xml:space="preserve">адекватну интеракцију </w:t>
            </w:r>
            <w:r w:rsidR="00FD267A" w:rsidRPr="001B11AB">
              <w:rPr>
                <w:rFonts w:ascii="Times New Roman" w:hAnsi="Times New Roman" w:cs="Times New Roman"/>
                <w:i/>
                <w:sz w:val="20"/>
                <w:szCs w:val="20"/>
                <w:lang w:val="sr-Cyrl-BA"/>
              </w:rPr>
              <w:t>управљања капиталом и ликвидношћу,</w:t>
            </w:r>
            <w:r w:rsidR="009F62CB" w:rsidRPr="001B11AB">
              <w:rPr>
                <w:rFonts w:ascii="Times New Roman" w:hAnsi="Times New Roman" w:cs="Times New Roman"/>
                <w:i/>
                <w:sz w:val="20"/>
                <w:szCs w:val="20"/>
                <w:lang w:val="sr-Latn-BA"/>
              </w:rPr>
              <w:t xml:space="preserve"> </w:t>
            </w:r>
            <w:r w:rsidR="00FD267A" w:rsidRPr="001B11AB">
              <w:rPr>
                <w:rFonts w:ascii="Times New Roman" w:hAnsi="Times New Roman" w:cs="Times New Roman"/>
                <w:i/>
                <w:sz w:val="20"/>
                <w:szCs w:val="20"/>
                <w:lang w:val="sr-Cyrl-BA"/>
              </w:rPr>
              <w:t>као и упра</w:t>
            </w:r>
            <w:r w:rsidR="00A73DDE" w:rsidRPr="001B11AB">
              <w:rPr>
                <w:rFonts w:ascii="Times New Roman" w:hAnsi="Times New Roman" w:cs="Times New Roman"/>
                <w:i/>
                <w:sz w:val="20"/>
                <w:szCs w:val="20"/>
                <w:lang w:val="sr-Cyrl-BA"/>
              </w:rPr>
              <w:t>в</w:t>
            </w:r>
            <w:r w:rsidR="00FD267A" w:rsidRPr="001B11AB">
              <w:rPr>
                <w:rFonts w:ascii="Times New Roman" w:hAnsi="Times New Roman" w:cs="Times New Roman"/>
                <w:i/>
                <w:sz w:val="20"/>
                <w:szCs w:val="20"/>
                <w:lang w:val="sr-Cyrl-BA"/>
              </w:rPr>
              <w:t>љања појединачним ризицима и ризицима на нивоу банке.</w:t>
            </w:r>
          </w:p>
        </w:tc>
      </w:tr>
    </w:tbl>
    <w:p w14:paraId="33A5BBC6" w14:textId="77777777" w:rsidR="00E740BB" w:rsidRPr="001B11AB" w:rsidRDefault="00E740BB" w:rsidP="00897F23">
      <w:pPr>
        <w:spacing w:after="0" w:line="240" w:lineRule="auto"/>
        <w:jc w:val="both"/>
        <w:rPr>
          <w:rFonts w:ascii="Times New Roman" w:hAnsi="Times New Roman" w:cs="Times New Roman"/>
          <w:b/>
          <w:lang w:val="ru-RU"/>
        </w:rPr>
      </w:pPr>
    </w:p>
    <w:tbl>
      <w:tblPr>
        <w:tblStyle w:val="TableGrid"/>
        <w:tblW w:w="9464" w:type="dxa"/>
        <w:tblLook w:val="04A0" w:firstRow="1" w:lastRow="0" w:firstColumn="1" w:lastColumn="0" w:noHBand="0" w:noVBand="1"/>
      </w:tblPr>
      <w:tblGrid>
        <w:gridCol w:w="9464"/>
      </w:tblGrid>
      <w:tr w:rsidR="005C6636" w:rsidRPr="001B11AB" w14:paraId="349DF15B" w14:textId="77777777" w:rsidTr="00ED6625">
        <w:tc>
          <w:tcPr>
            <w:tcW w:w="9464" w:type="dxa"/>
            <w:tcBorders>
              <w:bottom w:val="single" w:sz="4" w:space="0" w:color="auto"/>
            </w:tcBorders>
            <w:shd w:val="clear" w:color="auto" w:fill="D9D9D9" w:themeFill="background1" w:themeFillShade="D9"/>
          </w:tcPr>
          <w:p w14:paraId="782167F4" w14:textId="14ED86FA" w:rsidR="00E740BB" w:rsidRPr="001B11AB" w:rsidRDefault="00E740BB" w:rsidP="00A73DDE">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 xml:space="preserve">2.2. Стратегија </w:t>
            </w:r>
            <w:r w:rsidR="00ED6625" w:rsidRPr="001B11AB">
              <w:rPr>
                <w:rFonts w:ascii="Times New Roman" w:hAnsi="Times New Roman" w:cs="Times New Roman"/>
                <w:b/>
                <w:sz w:val="20"/>
                <w:szCs w:val="20"/>
                <w:lang w:val="ru-RU"/>
              </w:rPr>
              <w:t>преузимања и управљања ризицима</w:t>
            </w:r>
          </w:p>
        </w:tc>
      </w:tr>
      <w:tr w:rsidR="005C6636" w:rsidRPr="001B11AB" w14:paraId="1876B8A6" w14:textId="77777777" w:rsidTr="00ED6625">
        <w:tc>
          <w:tcPr>
            <w:tcW w:w="9464" w:type="dxa"/>
            <w:shd w:val="clear" w:color="auto" w:fill="auto"/>
          </w:tcPr>
          <w:p w14:paraId="2A40F153" w14:textId="35ABC729" w:rsidR="00E740BB" w:rsidRPr="001B11AB" w:rsidRDefault="00E740BB" w:rsidP="00A73DDE">
            <w:pPr>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најзначајније принципе преузимања </w:t>
            </w:r>
            <w:r w:rsidR="00A73DDE" w:rsidRPr="001B11AB">
              <w:rPr>
                <w:rFonts w:ascii="Times New Roman" w:hAnsi="Times New Roman" w:cs="Times New Roman"/>
                <w:i/>
                <w:sz w:val="20"/>
                <w:szCs w:val="20"/>
                <w:lang w:val="sr-Cyrl-CS"/>
              </w:rPr>
              <w:t xml:space="preserve">ризика </w:t>
            </w:r>
            <w:r w:rsidRPr="001B11AB">
              <w:rPr>
                <w:rFonts w:ascii="Times New Roman" w:hAnsi="Times New Roman" w:cs="Times New Roman"/>
                <w:i/>
                <w:sz w:val="20"/>
                <w:szCs w:val="20"/>
                <w:lang w:val="sr-Cyrl-CS"/>
              </w:rPr>
              <w:t>и управљања</w:t>
            </w:r>
            <w:r w:rsidR="00A73DDE" w:rsidRPr="001B11AB">
              <w:rPr>
                <w:rFonts w:ascii="Times New Roman" w:hAnsi="Times New Roman" w:cs="Times New Roman"/>
                <w:i/>
                <w:sz w:val="20"/>
                <w:szCs w:val="20"/>
                <w:lang w:val="sr-Cyrl-CS"/>
              </w:rPr>
              <w:t xml:space="preserve"> њима</w:t>
            </w:r>
            <w:r w:rsidRPr="001B11AB">
              <w:rPr>
                <w:rFonts w:ascii="Times New Roman" w:hAnsi="Times New Roman" w:cs="Times New Roman"/>
                <w:i/>
                <w:sz w:val="20"/>
                <w:szCs w:val="20"/>
                <w:lang w:val="sr-Cyrl-CS"/>
              </w:rPr>
              <w:t xml:space="preserve"> те списак интерних аката у којима су наведени. Описати колико често се врши усклађивање стратегије управљања ризицима и пословне стратегије.]</w:t>
            </w:r>
          </w:p>
        </w:tc>
      </w:tr>
      <w:tr w:rsidR="005C6636" w:rsidRPr="001B11AB" w14:paraId="2FF95A96" w14:textId="77777777" w:rsidTr="00ED6625">
        <w:tc>
          <w:tcPr>
            <w:tcW w:w="9464" w:type="dxa"/>
            <w:shd w:val="clear" w:color="auto" w:fill="auto"/>
          </w:tcPr>
          <w:p w14:paraId="1D967453" w14:textId="6D666722" w:rsidR="00E740BB" w:rsidRPr="001B11AB" w:rsidRDefault="00E740BB" w:rsidP="00A73DDE">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w:t>
            </w:r>
            <w:r w:rsidR="00A73DDE" w:rsidRPr="001B11AB">
              <w:rPr>
                <w:rFonts w:ascii="Times New Roman" w:hAnsi="Times New Roman" w:cs="Times New Roman"/>
                <w:i/>
                <w:sz w:val="20"/>
                <w:szCs w:val="20"/>
                <w:lang w:val="sr-Cyrl-CS"/>
              </w:rPr>
              <w:t xml:space="preserve">сљедеће: </w:t>
            </w:r>
            <w:r w:rsidRPr="001B11AB">
              <w:rPr>
                <w:rFonts w:ascii="Times New Roman" w:hAnsi="Times New Roman" w:cs="Times New Roman"/>
                <w:i/>
                <w:sz w:val="20"/>
                <w:szCs w:val="20"/>
                <w:lang w:val="sr-Cyrl-CS"/>
              </w:rPr>
              <w:t>опис стратегије за преузимање ризика</w:t>
            </w:r>
            <w:r w:rsidR="00A73DDE" w:rsidRPr="001B11AB">
              <w:rPr>
                <w:rFonts w:ascii="Times New Roman" w:hAnsi="Times New Roman" w:cs="Times New Roman"/>
                <w:i/>
                <w:sz w:val="20"/>
                <w:szCs w:val="20"/>
                <w:lang w:val="sr-Cyrl-CS"/>
              </w:rPr>
              <w:t xml:space="preserve"> и </w:t>
            </w:r>
            <w:r w:rsidRPr="001B11AB">
              <w:rPr>
                <w:rFonts w:ascii="Times New Roman" w:hAnsi="Times New Roman" w:cs="Times New Roman"/>
                <w:i/>
                <w:sz w:val="20"/>
                <w:szCs w:val="20"/>
                <w:lang w:val="sr-Cyrl-CS"/>
              </w:rPr>
              <w:t>ко је одговоран за провођење те стратегије</w:t>
            </w:r>
            <w:r w:rsidR="009B6233"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колика је склоност </w:t>
            </w:r>
            <w:r w:rsidR="004746FF" w:rsidRPr="001B11AB">
              <w:rPr>
                <w:rFonts w:ascii="Times New Roman" w:hAnsi="Times New Roman" w:cs="Times New Roman"/>
                <w:i/>
                <w:sz w:val="20"/>
                <w:szCs w:val="20"/>
                <w:lang w:val="sr-Cyrl-CS"/>
              </w:rPr>
              <w:t xml:space="preserve">ка </w:t>
            </w:r>
            <w:r w:rsidRPr="001B11AB">
              <w:rPr>
                <w:rFonts w:ascii="Times New Roman" w:hAnsi="Times New Roman" w:cs="Times New Roman"/>
                <w:i/>
                <w:sz w:val="20"/>
                <w:szCs w:val="20"/>
                <w:lang w:val="sr-Cyrl-CS"/>
              </w:rPr>
              <w:t xml:space="preserve">преузимању ризика </w:t>
            </w:r>
            <w:r w:rsidR="00A73DDE"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изразити квантитативно на исти начин како су лимити дефинисани интерним актима банке</w:t>
            </w:r>
            <w:r w:rsidR="00A73DDE" w:rsidRPr="001B11AB">
              <w:rPr>
                <w:rFonts w:ascii="Times New Roman" w:hAnsi="Times New Roman" w:cs="Times New Roman"/>
                <w:i/>
                <w:sz w:val="20"/>
                <w:szCs w:val="20"/>
                <w:lang w:val="sr-Cyrl-CS"/>
              </w:rPr>
              <w:t xml:space="preserve">) те </w:t>
            </w:r>
            <w:r w:rsidRPr="001B11AB">
              <w:rPr>
                <w:rFonts w:ascii="Times New Roman" w:hAnsi="Times New Roman" w:cs="Times New Roman"/>
                <w:i/>
                <w:sz w:val="20"/>
                <w:szCs w:val="20"/>
                <w:lang w:val="sr-Cyrl-CS"/>
              </w:rPr>
              <w:t>интерне акте којима се дефинише стратегија преузимања ризика.]</w:t>
            </w:r>
          </w:p>
        </w:tc>
      </w:tr>
      <w:tr w:rsidR="005C6636" w:rsidRPr="001B11AB" w14:paraId="1C254DA0" w14:textId="77777777" w:rsidTr="00ED6625">
        <w:tc>
          <w:tcPr>
            <w:tcW w:w="9464" w:type="dxa"/>
            <w:shd w:val="clear" w:color="auto" w:fill="auto"/>
          </w:tcPr>
          <w:p w14:paraId="0C14FC72" w14:textId="48E80C96" w:rsidR="00E740BB" w:rsidRPr="001B11AB" w:rsidRDefault="00E740BB" w:rsidP="00A73DDE">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резултате самопроцјене адекватности успостављеног система управљања сваким појединачним ризиком. Потребно је извршити самопроцјену интерних аката за управљање ризицима, успостављене организационе структуре за управљање тим ризицима, методологија за мјерење тих ризика те успостављених система </w:t>
            </w:r>
            <w:r w:rsidR="00FD267A" w:rsidRPr="001B11AB">
              <w:rPr>
                <w:rFonts w:ascii="Times New Roman" w:hAnsi="Times New Roman" w:cs="Times New Roman"/>
                <w:i/>
                <w:sz w:val="20"/>
                <w:szCs w:val="20"/>
                <w:lang w:val="sr-Cyrl-BA"/>
              </w:rPr>
              <w:t>унутрашњих</w:t>
            </w:r>
            <w:r w:rsidRPr="001B11AB">
              <w:rPr>
                <w:rFonts w:ascii="Times New Roman" w:hAnsi="Times New Roman" w:cs="Times New Roman"/>
                <w:i/>
                <w:sz w:val="20"/>
                <w:szCs w:val="20"/>
                <w:lang w:val="sr-Cyrl-CS"/>
              </w:rPr>
              <w:t xml:space="preserve"> контрола.]</w:t>
            </w:r>
          </w:p>
        </w:tc>
      </w:tr>
      <w:tr w:rsidR="005C6636" w:rsidRPr="001B11AB" w14:paraId="753BA062" w14:textId="77777777" w:rsidTr="00ED6625">
        <w:tc>
          <w:tcPr>
            <w:tcW w:w="9464" w:type="dxa"/>
            <w:shd w:val="clear" w:color="auto" w:fill="F2F2F2" w:themeFill="background1" w:themeFillShade="F2"/>
          </w:tcPr>
          <w:p w14:paraId="5E1FAD0B" w14:textId="23169026" w:rsidR="004746FF" w:rsidRPr="001B11AB" w:rsidRDefault="00410B02" w:rsidP="00897F23">
            <w:pPr>
              <w:widowControl w:val="0"/>
              <w:overflowPunct w:val="0"/>
              <w:autoSpaceDE w:val="0"/>
              <w:autoSpaceDN w:val="0"/>
              <w:adjustRightInd w:val="0"/>
              <w:spacing w:after="60"/>
              <w:jc w:val="both"/>
              <w:rPr>
                <w:rFonts w:ascii="Times New Roman" w:hAnsi="Times New Roman" w:cs="Times New Roman"/>
                <w:i/>
                <w:spacing w:val="-4"/>
                <w:sz w:val="20"/>
                <w:szCs w:val="20"/>
                <w:lang w:val="sr-Cyrl-BA"/>
              </w:rPr>
            </w:pPr>
            <w:r w:rsidRPr="001B11AB">
              <w:rPr>
                <w:rFonts w:ascii="Times New Roman" w:hAnsi="Times New Roman" w:cs="Times New Roman"/>
                <w:b/>
                <w:i/>
                <w:spacing w:val="-4"/>
                <w:sz w:val="20"/>
                <w:szCs w:val="20"/>
                <w:lang w:val="ru-RU"/>
              </w:rPr>
              <w:t>Напомена:</w:t>
            </w:r>
            <w:r w:rsidRPr="001B11AB">
              <w:rPr>
                <w:rFonts w:ascii="Times New Roman" w:hAnsi="Times New Roman" w:cs="Times New Roman"/>
                <w:i/>
                <w:spacing w:val="-4"/>
                <w:sz w:val="20"/>
                <w:szCs w:val="20"/>
                <w:lang w:val="sr-Latn-BA"/>
              </w:rPr>
              <w:t xml:space="preserve"> </w:t>
            </w:r>
            <w:r w:rsidR="00A73DDE" w:rsidRPr="001B11AB">
              <w:rPr>
                <w:rFonts w:ascii="Times New Roman" w:hAnsi="Times New Roman" w:cs="Times New Roman"/>
                <w:i/>
                <w:spacing w:val="-4"/>
                <w:sz w:val="20"/>
                <w:szCs w:val="20"/>
                <w:lang w:val="sr-Cyrl-BA"/>
              </w:rPr>
              <w:t>Б</w:t>
            </w:r>
            <w:r w:rsidRPr="001B11AB">
              <w:rPr>
                <w:rFonts w:ascii="Times New Roman" w:hAnsi="Times New Roman" w:cs="Times New Roman"/>
                <w:i/>
                <w:spacing w:val="-4"/>
                <w:sz w:val="20"/>
                <w:szCs w:val="20"/>
                <w:lang w:val="sr-Cyrl-BA"/>
              </w:rPr>
              <w:t xml:space="preserve">анка у овом </w:t>
            </w:r>
            <w:r w:rsidR="004746FF" w:rsidRPr="001B11AB">
              <w:rPr>
                <w:rFonts w:ascii="Times New Roman" w:hAnsi="Times New Roman" w:cs="Times New Roman"/>
                <w:i/>
                <w:spacing w:val="-4"/>
                <w:sz w:val="20"/>
                <w:szCs w:val="20"/>
                <w:lang w:val="sr-Cyrl-BA"/>
              </w:rPr>
              <w:t>дијелу</w:t>
            </w:r>
            <w:r w:rsidRPr="001B11AB">
              <w:rPr>
                <w:rFonts w:ascii="Times New Roman" w:hAnsi="Times New Roman" w:cs="Times New Roman"/>
                <w:i/>
                <w:spacing w:val="-4"/>
                <w:sz w:val="20"/>
                <w:szCs w:val="20"/>
                <w:lang w:val="sr-Cyrl-BA"/>
              </w:rPr>
              <w:t xml:space="preserve"> детаљно описује стратегију преузимања </w:t>
            </w:r>
            <w:r w:rsidR="00A73DDE" w:rsidRPr="001B11AB">
              <w:rPr>
                <w:rFonts w:ascii="Times New Roman" w:hAnsi="Times New Roman" w:cs="Times New Roman"/>
                <w:i/>
                <w:spacing w:val="-4"/>
                <w:sz w:val="20"/>
                <w:szCs w:val="20"/>
                <w:lang w:val="sr-Cyrl-BA"/>
              </w:rPr>
              <w:t xml:space="preserve">сваког значајног ризика </w:t>
            </w:r>
            <w:r w:rsidRPr="001B11AB">
              <w:rPr>
                <w:rFonts w:ascii="Times New Roman" w:hAnsi="Times New Roman" w:cs="Times New Roman"/>
                <w:i/>
                <w:spacing w:val="-4"/>
                <w:sz w:val="20"/>
                <w:szCs w:val="20"/>
                <w:lang w:val="sr-Cyrl-BA"/>
              </w:rPr>
              <w:t>и управљања</w:t>
            </w:r>
            <w:r w:rsidR="00A73DDE" w:rsidRPr="001B11AB">
              <w:rPr>
                <w:rFonts w:ascii="Times New Roman" w:hAnsi="Times New Roman" w:cs="Times New Roman"/>
                <w:i/>
                <w:spacing w:val="-4"/>
                <w:sz w:val="20"/>
                <w:szCs w:val="20"/>
                <w:lang w:val="sr-Cyrl-BA"/>
              </w:rPr>
              <w:t xml:space="preserve"> њима</w:t>
            </w:r>
            <w:r w:rsidRPr="001B11AB">
              <w:rPr>
                <w:rFonts w:ascii="Times New Roman" w:hAnsi="Times New Roman" w:cs="Times New Roman"/>
                <w:i/>
                <w:spacing w:val="-4"/>
                <w:sz w:val="20"/>
                <w:szCs w:val="20"/>
                <w:lang w:val="sr-Cyrl-BA"/>
              </w:rPr>
              <w:t>, те самопроцјену</w:t>
            </w:r>
            <w:r w:rsidRPr="001B11AB">
              <w:rPr>
                <w:rFonts w:ascii="Times New Roman" w:hAnsi="Times New Roman" w:cs="Times New Roman"/>
                <w:i/>
                <w:spacing w:val="-4"/>
                <w:sz w:val="20"/>
                <w:szCs w:val="20"/>
                <w:lang w:val="sr-Cyrl-CS"/>
              </w:rPr>
              <w:t xml:space="preserve"> адекватности успостављеног система управљања тим ризицима</w:t>
            </w:r>
            <w:r w:rsidRPr="001B11AB">
              <w:rPr>
                <w:rFonts w:ascii="Times New Roman" w:hAnsi="Times New Roman" w:cs="Times New Roman"/>
                <w:i/>
                <w:spacing w:val="-4"/>
                <w:sz w:val="20"/>
                <w:szCs w:val="20"/>
                <w:lang w:val="sr-Cyrl-BA"/>
              </w:rPr>
              <w:t xml:space="preserve"> (кредитни, тржишни, оперативни, ризик концентрације, каматни ризик у банкарској књизи, кредитно-девизни ризик и осталим значајним ризицима</w:t>
            </w:r>
            <w:r w:rsidR="006C44CF" w:rsidRPr="001B11AB">
              <w:rPr>
                <w:rFonts w:ascii="Times New Roman" w:hAnsi="Times New Roman" w:cs="Times New Roman"/>
                <w:i/>
                <w:spacing w:val="-4"/>
                <w:sz w:val="20"/>
                <w:szCs w:val="20"/>
                <w:lang w:val="sr-Cyrl-BA"/>
              </w:rPr>
              <w:t>)</w:t>
            </w:r>
            <w:r w:rsidRPr="001B11AB">
              <w:rPr>
                <w:rFonts w:ascii="Times New Roman" w:hAnsi="Times New Roman" w:cs="Times New Roman"/>
                <w:i/>
                <w:spacing w:val="-4"/>
                <w:sz w:val="20"/>
                <w:szCs w:val="20"/>
                <w:lang w:val="sr-Cyrl-BA"/>
              </w:rPr>
              <w:t>, изузев ризика тржишне ликвидности</w:t>
            </w:r>
            <w:r w:rsidR="00A73DDE" w:rsidRPr="001B11AB">
              <w:rPr>
                <w:rFonts w:ascii="Times New Roman" w:hAnsi="Times New Roman" w:cs="Times New Roman"/>
                <w:i/>
                <w:spacing w:val="-4"/>
                <w:sz w:val="20"/>
                <w:szCs w:val="20"/>
                <w:lang w:val="sr-Cyrl-BA"/>
              </w:rPr>
              <w:t>,</w:t>
            </w:r>
            <w:r w:rsidRPr="001B11AB">
              <w:rPr>
                <w:rFonts w:ascii="Times New Roman" w:hAnsi="Times New Roman" w:cs="Times New Roman"/>
                <w:i/>
                <w:spacing w:val="-4"/>
                <w:sz w:val="20"/>
                <w:szCs w:val="20"/>
                <w:lang w:val="sr-Cyrl-BA"/>
              </w:rPr>
              <w:t xml:space="preserve"> који је обухваћен у Извјештају о </w:t>
            </w:r>
            <w:r w:rsidRPr="001B11AB">
              <w:rPr>
                <w:rFonts w:ascii="Times New Roman" w:hAnsi="Times New Roman" w:cs="Times New Roman"/>
                <w:i/>
                <w:spacing w:val="-4"/>
                <w:sz w:val="20"/>
                <w:szCs w:val="20"/>
                <w:lang w:val="sr-Latn-BA"/>
              </w:rPr>
              <w:t>ILAAP</w:t>
            </w:r>
            <w:r w:rsidRPr="001B11AB">
              <w:rPr>
                <w:rFonts w:ascii="Times New Roman" w:hAnsi="Times New Roman" w:cs="Times New Roman"/>
                <w:i/>
                <w:spacing w:val="-4"/>
                <w:sz w:val="20"/>
                <w:szCs w:val="20"/>
                <w:lang w:val="sr-Cyrl-BA"/>
              </w:rPr>
              <w:t xml:space="preserve">-у. </w:t>
            </w:r>
          </w:p>
          <w:p w14:paraId="003E6880" w14:textId="77777777" w:rsidR="00410B02" w:rsidRPr="001B11AB" w:rsidRDefault="0069472C" w:rsidP="00897F23">
            <w:pPr>
              <w:widowControl w:val="0"/>
              <w:overflowPunct w:val="0"/>
              <w:autoSpaceDE w:val="0"/>
              <w:autoSpaceDN w:val="0"/>
              <w:adjustRightInd w:val="0"/>
              <w:spacing w:after="6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Cyrl-BA"/>
              </w:rPr>
              <w:t>Такође, банка треба да објасни индикаторе које је изабрала за дефинисање склоности ка преуизимању сваког појединачног значајног ризика и толеранције банке према том ризику.</w:t>
            </w:r>
          </w:p>
        </w:tc>
      </w:tr>
    </w:tbl>
    <w:p w14:paraId="0B84BE0D" w14:textId="77777777" w:rsidR="00E740BB" w:rsidRPr="001B11AB" w:rsidRDefault="00E740BB" w:rsidP="00897F23">
      <w:pPr>
        <w:spacing w:after="0" w:line="240" w:lineRule="auto"/>
        <w:jc w:val="both"/>
        <w:rPr>
          <w:rFonts w:ascii="Times New Roman" w:hAnsi="Times New Roman" w:cs="Times New Roman"/>
          <w:b/>
          <w:lang w:val="hr-HR"/>
        </w:rPr>
      </w:pPr>
    </w:p>
    <w:tbl>
      <w:tblPr>
        <w:tblStyle w:val="TableGrid"/>
        <w:tblW w:w="9464" w:type="dxa"/>
        <w:tblLook w:val="04A0" w:firstRow="1" w:lastRow="0" w:firstColumn="1" w:lastColumn="0" w:noHBand="0" w:noVBand="1"/>
      </w:tblPr>
      <w:tblGrid>
        <w:gridCol w:w="9464"/>
      </w:tblGrid>
      <w:tr w:rsidR="005C6636" w:rsidRPr="001B11AB" w14:paraId="6A30AAB2" w14:textId="77777777" w:rsidTr="001824A7">
        <w:tc>
          <w:tcPr>
            <w:tcW w:w="9464" w:type="dxa"/>
            <w:tcBorders>
              <w:bottom w:val="single" w:sz="4" w:space="0" w:color="auto"/>
            </w:tcBorders>
            <w:shd w:val="clear" w:color="auto" w:fill="D9D9D9" w:themeFill="background1" w:themeFillShade="D9"/>
          </w:tcPr>
          <w:p w14:paraId="7E7BB08A"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b/>
                <w:sz w:val="20"/>
                <w:szCs w:val="20"/>
              </w:rPr>
              <w:t xml:space="preserve">2.3. Систем </w:t>
            </w:r>
            <w:r w:rsidR="00A87AEE" w:rsidRPr="001B11AB">
              <w:rPr>
                <w:rFonts w:ascii="Times New Roman" w:hAnsi="Times New Roman" w:cs="Times New Roman"/>
                <w:b/>
                <w:sz w:val="20"/>
                <w:szCs w:val="20"/>
                <w:lang w:val="sr-Cyrl-BA"/>
              </w:rPr>
              <w:t>унутрашњих</w:t>
            </w:r>
            <w:r w:rsidRPr="001B11AB">
              <w:rPr>
                <w:rFonts w:ascii="Times New Roman" w:hAnsi="Times New Roman" w:cs="Times New Roman"/>
                <w:b/>
                <w:sz w:val="20"/>
                <w:szCs w:val="20"/>
              </w:rPr>
              <w:t xml:space="preserve"> контрола </w:t>
            </w:r>
          </w:p>
        </w:tc>
      </w:tr>
      <w:tr w:rsidR="005C6636" w:rsidRPr="001B11AB" w14:paraId="7E729C5A" w14:textId="77777777" w:rsidTr="006F4726">
        <w:tc>
          <w:tcPr>
            <w:tcW w:w="9464" w:type="dxa"/>
            <w:shd w:val="clear" w:color="auto" w:fill="auto"/>
          </w:tcPr>
          <w:p w14:paraId="68116593" w14:textId="7422152D" w:rsidR="00E740BB" w:rsidRPr="001B11AB" w:rsidRDefault="00E740BB" w:rsidP="00DD11A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опис овлаш</w:t>
            </w:r>
            <w:r w:rsidR="00DD11A3" w:rsidRPr="001B11AB">
              <w:rPr>
                <w:rFonts w:ascii="Times New Roman" w:hAnsi="Times New Roman" w:cs="Times New Roman"/>
                <w:i/>
                <w:sz w:val="20"/>
                <w:szCs w:val="20"/>
                <w:lang w:val="sr-Cyrl-CS"/>
              </w:rPr>
              <w:t>ћ</w:t>
            </w:r>
            <w:r w:rsidRPr="001B11AB">
              <w:rPr>
                <w:rFonts w:ascii="Times New Roman" w:hAnsi="Times New Roman" w:cs="Times New Roman"/>
                <w:i/>
                <w:sz w:val="20"/>
                <w:szCs w:val="20"/>
                <w:lang w:val="sr-Cyrl-CS"/>
              </w:rPr>
              <w:t>ења и одговорности контролних функција у ICAAP-у.]</w:t>
            </w:r>
          </w:p>
        </w:tc>
      </w:tr>
      <w:tr w:rsidR="005C6636" w:rsidRPr="001B11AB" w14:paraId="11F04C3A" w14:textId="77777777" w:rsidTr="00E92210">
        <w:tc>
          <w:tcPr>
            <w:tcW w:w="9464" w:type="dxa"/>
            <w:shd w:val="clear" w:color="auto" w:fill="F2F2F2" w:themeFill="background1" w:themeFillShade="F2"/>
          </w:tcPr>
          <w:p w14:paraId="0DE534BD" w14:textId="3D067CDA" w:rsidR="00E0520D" w:rsidRPr="001B11AB" w:rsidRDefault="00E340D7" w:rsidP="00897F23">
            <w:pPr>
              <w:spacing w:after="60"/>
              <w:jc w:val="both"/>
              <w:rPr>
                <w:rFonts w:ascii="Times New Roman" w:hAnsi="Times New Roman" w:cs="Times New Roman"/>
                <w:i/>
                <w:sz w:val="20"/>
                <w:szCs w:val="20"/>
                <w:lang w:val="sr-Latn-BA"/>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sr-Latn-BA"/>
              </w:rPr>
              <w:t xml:space="preserve"> </w:t>
            </w:r>
            <w:r w:rsidR="00A73DDE" w:rsidRPr="001B11AB">
              <w:rPr>
                <w:rFonts w:ascii="Times New Roman" w:hAnsi="Times New Roman" w:cs="Times New Roman"/>
                <w:i/>
                <w:sz w:val="20"/>
                <w:szCs w:val="20"/>
                <w:lang w:val="sr-Cyrl-BA"/>
              </w:rPr>
              <w:t>Б</w:t>
            </w:r>
            <w:r w:rsidRPr="001B11AB">
              <w:rPr>
                <w:rFonts w:ascii="Times New Roman" w:hAnsi="Times New Roman" w:cs="Times New Roman"/>
                <w:i/>
                <w:sz w:val="20"/>
                <w:szCs w:val="20"/>
                <w:lang w:val="sr-Cyrl-BA"/>
              </w:rPr>
              <w:t xml:space="preserve">анка у овом </w:t>
            </w:r>
            <w:r w:rsidR="004746FF" w:rsidRPr="001B11AB">
              <w:rPr>
                <w:rFonts w:ascii="Times New Roman" w:hAnsi="Times New Roman" w:cs="Times New Roman"/>
                <w:i/>
                <w:sz w:val="20"/>
                <w:szCs w:val="20"/>
                <w:lang w:val="sr-Cyrl-BA"/>
              </w:rPr>
              <w:t xml:space="preserve">дијелу </w:t>
            </w:r>
            <w:r w:rsidR="00A73DDE" w:rsidRPr="001B11AB">
              <w:rPr>
                <w:rFonts w:ascii="Times New Roman" w:hAnsi="Times New Roman" w:cs="Times New Roman"/>
                <w:i/>
                <w:sz w:val="20"/>
                <w:szCs w:val="20"/>
                <w:lang w:val="sr-Cyrl-BA"/>
              </w:rPr>
              <w:t>детаљно описује</w:t>
            </w:r>
            <w:r w:rsidR="004746FF" w:rsidRPr="001B11AB">
              <w:rPr>
                <w:rFonts w:ascii="Times New Roman" w:hAnsi="Times New Roman" w:cs="Times New Roman"/>
                <w:i/>
                <w:sz w:val="20"/>
                <w:szCs w:val="20"/>
                <w:lang w:val="sr-Cyrl-BA"/>
              </w:rPr>
              <w:t xml:space="preserve"> </w:t>
            </w:r>
            <w:r w:rsidRPr="001B11AB">
              <w:rPr>
                <w:rFonts w:ascii="Times New Roman" w:hAnsi="Times New Roman" w:cs="Times New Roman"/>
                <w:i/>
                <w:sz w:val="20"/>
                <w:szCs w:val="20"/>
                <w:lang w:val="sr-Cyrl-BA"/>
              </w:rPr>
              <w:t xml:space="preserve">систем унутрашњих контрола у управљању ризицима и </w:t>
            </w:r>
            <w:r w:rsidRPr="001B11AB">
              <w:rPr>
                <w:rFonts w:ascii="Times New Roman" w:hAnsi="Times New Roman" w:cs="Times New Roman"/>
                <w:i/>
                <w:sz w:val="20"/>
                <w:szCs w:val="20"/>
                <w:lang w:val="sr-Latn-BA"/>
              </w:rPr>
              <w:t>ICAAP-y</w:t>
            </w:r>
            <w:r w:rsidR="00A73DDE" w:rsidRPr="001B11AB">
              <w:rPr>
                <w:rFonts w:ascii="Times New Roman" w:hAnsi="Times New Roman" w:cs="Times New Roman"/>
                <w:i/>
                <w:sz w:val="20"/>
                <w:szCs w:val="20"/>
                <w:lang w:val="sr-Cyrl-BA"/>
              </w:rPr>
              <w:t xml:space="preserve"> и</w:t>
            </w:r>
            <w:r w:rsidR="00E0520D" w:rsidRPr="001B11AB">
              <w:rPr>
                <w:rFonts w:ascii="Times New Roman" w:hAnsi="Times New Roman" w:cs="Times New Roman"/>
                <w:i/>
                <w:sz w:val="20"/>
                <w:szCs w:val="20"/>
                <w:lang w:val="sr-Cyrl-BA"/>
              </w:rPr>
              <w:t xml:space="preserve"> за сваки значајни ризик</w:t>
            </w:r>
            <w:r w:rsidR="00E0520D" w:rsidRPr="001B11AB">
              <w:rPr>
                <w:rFonts w:ascii="Times New Roman" w:hAnsi="Times New Roman" w:cs="Times New Roman"/>
                <w:i/>
                <w:sz w:val="20"/>
                <w:szCs w:val="20"/>
                <w:lang w:val="sr-Latn-BA"/>
              </w:rPr>
              <w:t xml:space="preserve"> </w:t>
            </w:r>
            <w:r w:rsidR="00702A82" w:rsidRPr="001B11AB">
              <w:rPr>
                <w:rFonts w:ascii="Times New Roman" w:hAnsi="Times New Roman" w:cs="Times New Roman"/>
                <w:i/>
                <w:sz w:val="20"/>
                <w:szCs w:val="20"/>
                <w:lang w:val="sr-Cyrl-BA"/>
              </w:rPr>
              <w:t>објашњава</w:t>
            </w:r>
            <w:r w:rsidR="00E0520D" w:rsidRPr="001B11AB">
              <w:rPr>
                <w:rFonts w:ascii="Times New Roman" w:hAnsi="Times New Roman" w:cs="Times New Roman"/>
                <w:i/>
                <w:sz w:val="20"/>
                <w:szCs w:val="20"/>
                <w:lang w:val="sr-Cyrl-BA"/>
              </w:rPr>
              <w:t xml:space="preserve"> које </w:t>
            </w:r>
            <w:r w:rsidR="00E0520D" w:rsidRPr="001B11AB">
              <w:rPr>
                <w:rFonts w:ascii="Times New Roman" w:hAnsi="Times New Roman" w:cs="Times New Roman"/>
                <w:i/>
                <w:sz w:val="20"/>
                <w:szCs w:val="20"/>
                <w:lang w:val="sr-Latn-BA"/>
              </w:rPr>
              <w:t xml:space="preserve">организационе јединице </w:t>
            </w:r>
            <w:r w:rsidR="00E0520D" w:rsidRPr="001B11AB">
              <w:rPr>
                <w:rFonts w:ascii="Times New Roman" w:hAnsi="Times New Roman" w:cs="Times New Roman"/>
                <w:i/>
                <w:sz w:val="20"/>
                <w:szCs w:val="20"/>
                <w:lang w:val="sr-Cyrl-BA"/>
              </w:rPr>
              <w:t>представљају тзв.</w:t>
            </w:r>
            <w:r w:rsidR="00E0520D" w:rsidRPr="001B11AB">
              <w:rPr>
                <w:rFonts w:ascii="Times New Roman" w:hAnsi="Times New Roman" w:cs="Times New Roman"/>
                <w:i/>
                <w:sz w:val="20"/>
                <w:szCs w:val="20"/>
                <w:lang w:val="sr-Latn-BA"/>
              </w:rPr>
              <w:t xml:space="preserve"> прв</w:t>
            </w:r>
            <w:r w:rsidR="00E0520D" w:rsidRPr="001B11AB">
              <w:rPr>
                <w:rFonts w:ascii="Times New Roman" w:hAnsi="Times New Roman" w:cs="Times New Roman"/>
                <w:i/>
                <w:sz w:val="20"/>
                <w:szCs w:val="20"/>
                <w:lang w:val="sr-Cyrl-BA"/>
              </w:rPr>
              <w:t>у</w:t>
            </w:r>
            <w:r w:rsidR="00E0520D" w:rsidRPr="001B11AB">
              <w:rPr>
                <w:rFonts w:ascii="Times New Roman" w:hAnsi="Times New Roman" w:cs="Times New Roman"/>
                <w:i/>
                <w:sz w:val="20"/>
                <w:szCs w:val="20"/>
                <w:lang w:val="sr-Latn-BA"/>
              </w:rPr>
              <w:t xml:space="preserve"> линиј</w:t>
            </w:r>
            <w:r w:rsidR="00093B08" w:rsidRPr="001B11AB">
              <w:rPr>
                <w:rFonts w:ascii="Times New Roman" w:hAnsi="Times New Roman" w:cs="Times New Roman"/>
                <w:i/>
                <w:sz w:val="20"/>
                <w:szCs w:val="20"/>
                <w:lang w:val="sr-Cyrl-BA"/>
              </w:rPr>
              <w:t>у</w:t>
            </w:r>
            <w:r w:rsidR="00E0520D" w:rsidRPr="001B11AB">
              <w:rPr>
                <w:rFonts w:ascii="Times New Roman" w:hAnsi="Times New Roman" w:cs="Times New Roman"/>
                <w:i/>
                <w:sz w:val="20"/>
                <w:szCs w:val="20"/>
                <w:lang w:val="sr-Latn-BA"/>
              </w:rPr>
              <w:t xml:space="preserve"> одбране (пословне </w:t>
            </w:r>
            <w:r w:rsidR="00E0520D" w:rsidRPr="001B11AB">
              <w:rPr>
                <w:rFonts w:ascii="Times New Roman" w:hAnsi="Times New Roman" w:cs="Times New Roman"/>
                <w:i/>
                <w:sz w:val="20"/>
                <w:szCs w:val="20"/>
                <w:lang w:val="sr-Cyrl-BA"/>
              </w:rPr>
              <w:t>функције</w:t>
            </w:r>
            <w:r w:rsidR="00E0520D" w:rsidRPr="001B11AB">
              <w:rPr>
                <w:rFonts w:ascii="Times New Roman" w:hAnsi="Times New Roman" w:cs="Times New Roman"/>
                <w:i/>
                <w:sz w:val="20"/>
                <w:szCs w:val="20"/>
                <w:lang w:val="sr-Latn-BA"/>
              </w:rPr>
              <w:t xml:space="preserve">), </w:t>
            </w:r>
            <w:r w:rsidR="00E0520D" w:rsidRPr="001B11AB">
              <w:rPr>
                <w:rFonts w:ascii="Times New Roman" w:hAnsi="Times New Roman" w:cs="Times New Roman"/>
                <w:i/>
                <w:sz w:val="20"/>
                <w:szCs w:val="20"/>
                <w:lang w:val="sr-Cyrl-BA"/>
              </w:rPr>
              <w:t>те</w:t>
            </w:r>
            <w:r w:rsidR="00E0520D" w:rsidRPr="001B11AB">
              <w:rPr>
                <w:rFonts w:ascii="Times New Roman" w:hAnsi="Times New Roman" w:cs="Times New Roman"/>
                <w:i/>
                <w:sz w:val="20"/>
                <w:szCs w:val="20"/>
                <w:lang w:val="sr-Latn-BA"/>
              </w:rPr>
              <w:t xml:space="preserve"> која је улога </w:t>
            </w:r>
            <w:r w:rsidR="00E0520D" w:rsidRPr="001B11AB">
              <w:rPr>
                <w:rFonts w:ascii="Times New Roman" w:hAnsi="Times New Roman" w:cs="Times New Roman"/>
                <w:i/>
                <w:sz w:val="20"/>
                <w:szCs w:val="20"/>
                <w:lang w:val="sr-Cyrl-BA"/>
              </w:rPr>
              <w:t xml:space="preserve">тзв. </w:t>
            </w:r>
            <w:r w:rsidR="00E0520D" w:rsidRPr="001B11AB">
              <w:rPr>
                <w:rFonts w:ascii="Times New Roman" w:hAnsi="Times New Roman" w:cs="Times New Roman"/>
                <w:i/>
                <w:sz w:val="20"/>
                <w:szCs w:val="20"/>
                <w:lang w:val="sr-Latn-BA"/>
              </w:rPr>
              <w:t>друге линије одбране (функциј</w:t>
            </w:r>
            <w:r w:rsidR="00E0520D" w:rsidRPr="001B11AB">
              <w:rPr>
                <w:rFonts w:ascii="Times New Roman" w:hAnsi="Times New Roman" w:cs="Times New Roman"/>
                <w:i/>
                <w:sz w:val="20"/>
                <w:szCs w:val="20"/>
                <w:lang w:val="sr-Cyrl-BA"/>
              </w:rPr>
              <w:t>е</w:t>
            </w:r>
            <w:r w:rsidR="00E0520D" w:rsidRPr="001B11AB">
              <w:rPr>
                <w:rFonts w:ascii="Times New Roman" w:hAnsi="Times New Roman" w:cs="Times New Roman"/>
                <w:i/>
                <w:sz w:val="20"/>
                <w:szCs w:val="20"/>
                <w:lang w:val="sr-Latn-BA"/>
              </w:rPr>
              <w:t xml:space="preserve"> управљања ризи</w:t>
            </w:r>
            <w:r w:rsidR="00E0520D" w:rsidRPr="001B11AB">
              <w:rPr>
                <w:rFonts w:ascii="Times New Roman" w:hAnsi="Times New Roman" w:cs="Times New Roman"/>
                <w:i/>
                <w:sz w:val="20"/>
                <w:szCs w:val="20"/>
                <w:lang w:val="sr-Cyrl-BA"/>
              </w:rPr>
              <w:t>цима</w:t>
            </w:r>
            <w:r w:rsidR="00E0520D" w:rsidRPr="001B11AB">
              <w:rPr>
                <w:rFonts w:ascii="Times New Roman" w:hAnsi="Times New Roman" w:cs="Times New Roman"/>
                <w:i/>
                <w:sz w:val="20"/>
                <w:szCs w:val="20"/>
                <w:lang w:val="sr-Latn-BA"/>
              </w:rPr>
              <w:t xml:space="preserve"> и функциј</w:t>
            </w:r>
            <w:r w:rsidR="00E0520D" w:rsidRPr="001B11AB">
              <w:rPr>
                <w:rFonts w:ascii="Times New Roman" w:hAnsi="Times New Roman" w:cs="Times New Roman"/>
                <w:i/>
                <w:sz w:val="20"/>
                <w:szCs w:val="20"/>
                <w:lang w:val="sr-Cyrl-BA"/>
              </w:rPr>
              <w:t>е</w:t>
            </w:r>
            <w:r w:rsidR="00E0520D" w:rsidRPr="001B11AB">
              <w:rPr>
                <w:rFonts w:ascii="Times New Roman" w:hAnsi="Times New Roman" w:cs="Times New Roman"/>
                <w:i/>
                <w:sz w:val="20"/>
                <w:szCs w:val="20"/>
                <w:lang w:val="sr-Latn-BA"/>
              </w:rPr>
              <w:t xml:space="preserve"> </w:t>
            </w:r>
            <w:r w:rsidR="00E0520D" w:rsidRPr="001B11AB">
              <w:rPr>
                <w:rFonts w:ascii="Times New Roman" w:hAnsi="Times New Roman" w:cs="Times New Roman"/>
                <w:i/>
                <w:sz w:val="20"/>
                <w:szCs w:val="20"/>
                <w:lang w:val="sr-Cyrl-BA"/>
              </w:rPr>
              <w:t>праћења</w:t>
            </w:r>
            <w:r w:rsidR="00E0520D" w:rsidRPr="001B11AB">
              <w:rPr>
                <w:rFonts w:ascii="Times New Roman" w:hAnsi="Times New Roman" w:cs="Times New Roman"/>
                <w:i/>
                <w:sz w:val="20"/>
                <w:szCs w:val="20"/>
                <w:lang w:val="sr-Latn-BA"/>
              </w:rPr>
              <w:t xml:space="preserve"> усклађености</w:t>
            </w:r>
            <w:r w:rsidR="00E0520D" w:rsidRPr="001B11AB">
              <w:rPr>
                <w:rFonts w:ascii="Times New Roman" w:hAnsi="Times New Roman" w:cs="Times New Roman"/>
                <w:i/>
                <w:sz w:val="20"/>
                <w:szCs w:val="20"/>
                <w:lang w:val="sr-Cyrl-BA"/>
              </w:rPr>
              <w:t xml:space="preserve"> пословања</w:t>
            </w:r>
            <w:r w:rsidR="00E0520D" w:rsidRPr="001B11AB">
              <w:rPr>
                <w:rFonts w:ascii="Times New Roman" w:hAnsi="Times New Roman" w:cs="Times New Roman"/>
                <w:i/>
                <w:sz w:val="20"/>
                <w:szCs w:val="20"/>
                <w:lang w:val="sr-Latn-BA"/>
              </w:rPr>
              <w:t>).</w:t>
            </w:r>
          </w:p>
          <w:p w14:paraId="2D24FCDF" w14:textId="3CBD0EA3" w:rsidR="00E0520D" w:rsidRPr="001B11AB" w:rsidRDefault="00E0520D"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Latn-BA"/>
              </w:rPr>
              <w:t xml:space="preserve">Потребно је да </w:t>
            </w:r>
            <w:r w:rsidRPr="001B11AB">
              <w:rPr>
                <w:rFonts w:ascii="Times New Roman" w:hAnsi="Times New Roman" w:cs="Times New Roman"/>
                <w:i/>
                <w:sz w:val="20"/>
                <w:szCs w:val="20"/>
                <w:lang w:val="sr-Cyrl-BA"/>
              </w:rPr>
              <w:t xml:space="preserve">банка </w:t>
            </w:r>
            <w:r w:rsidR="004746FF" w:rsidRPr="001B11AB">
              <w:rPr>
                <w:rFonts w:ascii="Times New Roman" w:hAnsi="Times New Roman" w:cs="Times New Roman"/>
                <w:i/>
                <w:sz w:val="20"/>
                <w:szCs w:val="20"/>
                <w:lang w:val="sr-Cyrl-BA"/>
              </w:rPr>
              <w:t xml:space="preserve">за сваки значајни ризик </w:t>
            </w:r>
            <w:r w:rsidRPr="001B11AB">
              <w:rPr>
                <w:rFonts w:ascii="Times New Roman" w:hAnsi="Times New Roman" w:cs="Times New Roman"/>
                <w:i/>
                <w:sz w:val="20"/>
                <w:szCs w:val="20"/>
                <w:lang w:val="sr-Latn-BA"/>
              </w:rPr>
              <w:t xml:space="preserve">наведе преглед </w:t>
            </w:r>
            <w:r w:rsidR="00A73DDE" w:rsidRPr="001B11AB">
              <w:rPr>
                <w:rFonts w:ascii="Times New Roman" w:hAnsi="Times New Roman" w:cs="Times New Roman"/>
                <w:i/>
                <w:sz w:val="20"/>
                <w:szCs w:val="20"/>
                <w:lang w:val="sr-Latn-BA"/>
              </w:rPr>
              <w:t xml:space="preserve">области </w:t>
            </w:r>
            <w:r w:rsidR="00A73DDE" w:rsidRPr="001B11AB">
              <w:rPr>
                <w:rFonts w:ascii="Times New Roman" w:hAnsi="Times New Roman" w:cs="Times New Roman"/>
                <w:i/>
                <w:sz w:val="20"/>
                <w:szCs w:val="20"/>
                <w:lang w:val="sr-Cyrl-BA"/>
              </w:rPr>
              <w:t xml:space="preserve">које је </w:t>
            </w:r>
            <w:r w:rsidRPr="001B11AB">
              <w:rPr>
                <w:rFonts w:ascii="Times New Roman" w:hAnsi="Times New Roman" w:cs="Times New Roman"/>
                <w:i/>
                <w:sz w:val="20"/>
                <w:szCs w:val="20"/>
                <w:lang w:val="sr-Latn-BA"/>
              </w:rPr>
              <w:t>ревидира</w:t>
            </w:r>
            <w:r w:rsidR="00A73DDE" w:rsidRPr="001B11AB">
              <w:rPr>
                <w:rFonts w:ascii="Times New Roman" w:hAnsi="Times New Roman" w:cs="Times New Roman"/>
                <w:i/>
                <w:sz w:val="20"/>
                <w:szCs w:val="20"/>
                <w:lang w:val="sr-Cyrl-BA"/>
              </w:rPr>
              <w:t>ла</w:t>
            </w:r>
            <w:r w:rsidRPr="001B11AB">
              <w:rPr>
                <w:rFonts w:ascii="Times New Roman" w:hAnsi="Times New Roman" w:cs="Times New Roman"/>
                <w:i/>
                <w:sz w:val="20"/>
                <w:szCs w:val="20"/>
                <w:lang w:val="sr-Latn-BA"/>
              </w:rPr>
              <w:t xml:space="preserve"> интерн</w:t>
            </w:r>
            <w:r w:rsidR="00A73DDE" w:rsidRPr="001B11AB">
              <w:rPr>
                <w:rFonts w:ascii="Times New Roman" w:hAnsi="Times New Roman" w:cs="Times New Roman"/>
                <w:i/>
                <w:sz w:val="20"/>
                <w:szCs w:val="20"/>
                <w:lang w:val="sr-Cyrl-BA"/>
              </w:rPr>
              <w:t>а</w:t>
            </w:r>
            <w:r w:rsidRPr="001B11AB">
              <w:rPr>
                <w:rFonts w:ascii="Times New Roman" w:hAnsi="Times New Roman" w:cs="Times New Roman"/>
                <w:i/>
                <w:sz w:val="20"/>
                <w:szCs w:val="20"/>
                <w:lang w:val="sr-Latn-BA"/>
              </w:rPr>
              <w:t xml:space="preserve"> ревизиј</w:t>
            </w:r>
            <w:r w:rsidR="00A73DDE" w:rsidRPr="001B11AB">
              <w:rPr>
                <w:rFonts w:ascii="Times New Roman" w:hAnsi="Times New Roman" w:cs="Times New Roman"/>
                <w:i/>
                <w:sz w:val="20"/>
                <w:szCs w:val="20"/>
                <w:lang w:val="sr-Cyrl-BA"/>
              </w:rPr>
              <w:t>а</w:t>
            </w:r>
            <w:r w:rsidR="00A73DDE" w:rsidRPr="001B11AB">
              <w:rPr>
                <w:rFonts w:ascii="Times New Roman" w:hAnsi="Times New Roman" w:cs="Times New Roman"/>
                <w:i/>
                <w:sz w:val="20"/>
                <w:szCs w:val="20"/>
                <w:lang w:val="sr-Latn-BA"/>
              </w:rPr>
              <w:t xml:space="preserve"> те </w:t>
            </w:r>
            <w:r w:rsidRPr="001B11AB">
              <w:rPr>
                <w:rFonts w:ascii="Times New Roman" w:hAnsi="Times New Roman" w:cs="Times New Roman"/>
                <w:i/>
                <w:sz w:val="20"/>
                <w:szCs w:val="20"/>
                <w:lang w:val="sr-Latn-BA"/>
              </w:rPr>
              <w:t xml:space="preserve">кратак преглед закључака, </w:t>
            </w:r>
            <w:r w:rsidR="00A73DDE" w:rsidRPr="001B11AB">
              <w:rPr>
                <w:rFonts w:ascii="Times New Roman" w:hAnsi="Times New Roman" w:cs="Times New Roman"/>
                <w:i/>
                <w:sz w:val="20"/>
                <w:szCs w:val="20"/>
                <w:lang w:val="sr-Cyrl-BA"/>
              </w:rPr>
              <w:t>тј.</w:t>
            </w:r>
            <w:r w:rsidRPr="001B11AB">
              <w:rPr>
                <w:rFonts w:ascii="Times New Roman" w:hAnsi="Times New Roman" w:cs="Times New Roman"/>
                <w:i/>
                <w:sz w:val="20"/>
                <w:szCs w:val="20"/>
                <w:lang w:val="sr-Latn-BA"/>
              </w:rPr>
              <w:t xml:space="preserve"> налаза интерне ревизије у погледу: </w:t>
            </w:r>
          </w:p>
          <w:p w14:paraId="7F05B20D" w14:textId="36796D4B" w:rsidR="00E0520D" w:rsidRPr="001B11AB" w:rsidRDefault="00E0520D" w:rsidP="00897F23">
            <w:pPr>
              <w:pStyle w:val="ListParagraph"/>
              <w:numPr>
                <w:ilvl w:val="0"/>
                <w:numId w:val="32"/>
              </w:numPr>
              <w:spacing w:after="60"/>
              <w:ind w:left="426" w:hanging="284"/>
              <w:contextualSpacing w:val="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Latn-BA"/>
              </w:rPr>
              <w:lastRenderedPageBreak/>
              <w:t xml:space="preserve">усклађености </w:t>
            </w:r>
            <w:r w:rsidR="002D6114" w:rsidRPr="001B11AB">
              <w:rPr>
                <w:rFonts w:ascii="Times New Roman" w:hAnsi="Times New Roman" w:cs="Times New Roman"/>
                <w:i/>
                <w:sz w:val="20"/>
                <w:szCs w:val="20"/>
                <w:lang w:val="sr-Cyrl-BA"/>
              </w:rPr>
              <w:t xml:space="preserve">поступања банке </w:t>
            </w:r>
            <w:r w:rsidRPr="001B11AB">
              <w:rPr>
                <w:rFonts w:ascii="Times New Roman" w:hAnsi="Times New Roman" w:cs="Times New Roman"/>
                <w:i/>
                <w:sz w:val="20"/>
                <w:szCs w:val="20"/>
                <w:lang w:val="sr-Latn-BA"/>
              </w:rPr>
              <w:t xml:space="preserve">са </w:t>
            </w:r>
            <w:r w:rsidR="00A73DDE" w:rsidRPr="001B11AB">
              <w:rPr>
                <w:rFonts w:ascii="Times New Roman" w:hAnsi="Times New Roman" w:cs="Times New Roman"/>
                <w:i/>
                <w:sz w:val="20"/>
                <w:szCs w:val="20"/>
                <w:lang w:val="sr-Cyrl-BA"/>
              </w:rPr>
              <w:t xml:space="preserve">њеним </w:t>
            </w:r>
            <w:r w:rsidRPr="001B11AB">
              <w:rPr>
                <w:rFonts w:ascii="Times New Roman" w:hAnsi="Times New Roman" w:cs="Times New Roman"/>
                <w:i/>
                <w:sz w:val="20"/>
                <w:szCs w:val="20"/>
                <w:lang w:val="sr-Latn-BA"/>
              </w:rPr>
              <w:t xml:space="preserve">прописима и интерним правилима, </w:t>
            </w:r>
          </w:p>
          <w:p w14:paraId="188CA206" w14:textId="77777777" w:rsidR="00E0520D" w:rsidRPr="001B11AB" w:rsidRDefault="00E0520D" w:rsidP="00897F23">
            <w:pPr>
              <w:pStyle w:val="ListParagraph"/>
              <w:numPr>
                <w:ilvl w:val="0"/>
                <w:numId w:val="32"/>
              </w:numPr>
              <w:spacing w:after="60"/>
              <w:ind w:left="426" w:hanging="284"/>
              <w:contextualSpacing w:val="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Latn-BA"/>
              </w:rPr>
              <w:t xml:space="preserve">коришћења резултата ICAAP-а у процесу доношења одлука, </w:t>
            </w:r>
          </w:p>
          <w:p w14:paraId="6630790C" w14:textId="77777777" w:rsidR="00E0520D" w:rsidRPr="001B11AB" w:rsidRDefault="00E0520D" w:rsidP="00897F23">
            <w:pPr>
              <w:pStyle w:val="ListParagraph"/>
              <w:numPr>
                <w:ilvl w:val="0"/>
                <w:numId w:val="32"/>
              </w:numPr>
              <w:spacing w:after="60"/>
              <w:ind w:left="426" w:hanging="284"/>
              <w:contextualSpacing w:val="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Latn-BA"/>
              </w:rPr>
              <w:t xml:space="preserve">адекватности и ефикасности функционисања система унутрашњих контрола, </w:t>
            </w:r>
          </w:p>
          <w:p w14:paraId="6CA0BC64" w14:textId="77777777" w:rsidR="00E0520D" w:rsidRPr="001B11AB" w:rsidRDefault="00E0520D" w:rsidP="00897F23">
            <w:pPr>
              <w:pStyle w:val="ListParagraph"/>
              <w:numPr>
                <w:ilvl w:val="0"/>
                <w:numId w:val="32"/>
              </w:numPr>
              <w:spacing w:after="60"/>
              <w:ind w:left="426" w:hanging="284"/>
              <w:contextualSpacing w:val="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Latn-BA"/>
              </w:rPr>
              <w:t xml:space="preserve">адекватности ИТ подршке у процесима управљања ризицима и ICAAP-у, </w:t>
            </w:r>
          </w:p>
          <w:p w14:paraId="6D682BE8" w14:textId="77777777" w:rsidR="00E0520D" w:rsidRPr="001B11AB" w:rsidRDefault="00E0520D" w:rsidP="00897F23">
            <w:pPr>
              <w:pStyle w:val="ListParagraph"/>
              <w:numPr>
                <w:ilvl w:val="0"/>
                <w:numId w:val="32"/>
              </w:numPr>
              <w:spacing w:after="60"/>
              <w:ind w:left="426" w:hanging="284"/>
              <w:contextualSpacing w:val="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Latn-BA"/>
              </w:rPr>
              <w:t xml:space="preserve">квалитета и интегритета података о управљању ризицима и ICAAP-у, </w:t>
            </w:r>
          </w:p>
          <w:p w14:paraId="50694C8E" w14:textId="77777777" w:rsidR="00E0520D" w:rsidRPr="001B11AB" w:rsidRDefault="00E0520D" w:rsidP="00897F23">
            <w:pPr>
              <w:pStyle w:val="ListParagraph"/>
              <w:numPr>
                <w:ilvl w:val="0"/>
                <w:numId w:val="32"/>
              </w:numPr>
              <w:spacing w:after="60"/>
              <w:ind w:left="426" w:hanging="284"/>
              <w:contextualSpacing w:val="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Latn-BA"/>
              </w:rPr>
              <w:t xml:space="preserve">процјене адекватности методологије банке за мјерење/процјену ризика и др. </w:t>
            </w:r>
          </w:p>
          <w:p w14:paraId="72AAC55D" w14:textId="15B444C4" w:rsidR="006E0070" w:rsidRPr="001B11AB" w:rsidRDefault="00E0520D"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Latn-BA"/>
              </w:rPr>
              <w:t xml:space="preserve">У </w:t>
            </w:r>
            <w:r w:rsidRPr="001B11AB">
              <w:rPr>
                <w:rFonts w:ascii="Times New Roman" w:hAnsi="Times New Roman" w:cs="Times New Roman"/>
                <w:i/>
                <w:sz w:val="20"/>
                <w:szCs w:val="20"/>
                <w:lang w:val="sr-Cyrl-BA"/>
              </w:rPr>
              <w:t xml:space="preserve">овом </w:t>
            </w:r>
            <w:r w:rsidR="00FA2803" w:rsidRPr="001B11AB">
              <w:rPr>
                <w:rFonts w:ascii="Times New Roman" w:hAnsi="Times New Roman" w:cs="Times New Roman"/>
                <w:i/>
                <w:sz w:val="20"/>
                <w:szCs w:val="20"/>
                <w:lang w:val="sr-Cyrl-BA"/>
              </w:rPr>
              <w:t>дијелу</w:t>
            </w:r>
            <w:r w:rsidRPr="001B11AB">
              <w:rPr>
                <w:rFonts w:ascii="Times New Roman" w:hAnsi="Times New Roman" w:cs="Times New Roman"/>
                <w:i/>
                <w:sz w:val="20"/>
                <w:szCs w:val="20"/>
                <w:lang w:val="sr-Latn-BA"/>
              </w:rPr>
              <w:t xml:space="preserve"> банка наводи и попис мјера које су п</w:t>
            </w:r>
            <w:r w:rsidR="006E0070" w:rsidRPr="001B11AB">
              <w:rPr>
                <w:rFonts w:ascii="Times New Roman" w:hAnsi="Times New Roman" w:cs="Times New Roman"/>
                <w:i/>
                <w:sz w:val="20"/>
                <w:szCs w:val="20"/>
                <w:lang w:val="sr-Cyrl-BA"/>
              </w:rPr>
              <w:t>ре</w:t>
            </w:r>
            <w:r w:rsidRPr="001B11AB">
              <w:rPr>
                <w:rFonts w:ascii="Times New Roman" w:hAnsi="Times New Roman" w:cs="Times New Roman"/>
                <w:i/>
                <w:sz w:val="20"/>
                <w:szCs w:val="20"/>
                <w:lang w:val="sr-Latn-BA"/>
              </w:rPr>
              <w:t>дузете због уочених недостатака и слабости система унутрашњих контрола, са назначеним статусом тих мјера у погледу степена имплемент</w:t>
            </w:r>
            <w:r w:rsidR="006C44CF" w:rsidRPr="001B11AB">
              <w:rPr>
                <w:rFonts w:ascii="Times New Roman" w:hAnsi="Times New Roman" w:cs="Times New Roman"/>
                <w:i/>
                <w:sz w:val="20"/>
                <w:szCs w:val="20"/>
                <w:lang w:val="sr-Cyrl-BA"/>
              </w:rPr>
              <w:t>ације</w:t>
            </w:r>
            <w:r w:rsidRPr="001B11AB">
              <w:rPr>
                <w:rFonts w:ascii="Times New Roman" w:hAnsi="Times New Roman" w:cs="Times New Roman"/>
                <w:i/>
                <w:sz w:val="20"/>
                <w:szCs w:val="20"/>
                <w:lang w:val="sr-Latn-BA"/>
              </w:rPr>
              <w:t xml:space="preserve">, крајњих рокова и одговорних </w:t>
            </w:r>
            <w:r w:rsidR="00A87812" w:rsidRPr="001B11AB">
              <w:rPr>
                <w:rFonts w:ascii="Times New Roman" w:hAnsi="Times New Roman" w:cs="Times New Roman"/>
                <w:i/>
                <w:sz w:val="20"/>
                <w:szCs w:val="20"/>
                <w:lang w:val="sr-Cyrl-BA"/>
              </w:rPr>
              <w:t>лица</w:t>
            </w:r>
            <w:r w:rsidRPr="001B11AB">
              <w:rPr>
                <w:rFonts w:ascii="Times New Roman" w:hAnsi="Times New Roman" w:cs="Times New Roman"/>
                <w:i/>
                <w:sz w:val="20"/>
                <w:szCs w:val="20"/>
                <w:lang w:val="sr-Latn-BA"/>
              </w:rPr>
              <w:t>/ организационих дијелова банке за њихову имплементацију (наведене информације</w:t>
            </w:r>
            <w:r w:rsidR="001A52FF" w:rsidRPr="001B11AB">
              <w:rPr>
                <w:rFonts w:ascii="Times New Roman" w:hAnsi="Times New Roman" w:cs="Times New Roman"/>
                <w:i/>
                <w:sz w:val="20"/>
                <w:szCs w:val="20"/>
                <w:lang w:val="sr-Latn-BA"/>
              </w:rPr>
              <w:t xml:space="preserve"> треба да буду</w:t>
            </w:r>
            <w:r w:rsidRPr="001B11AB">
              <w:rPr>
                <w:rFonts w:ascii="Times New Roman" w:hAnsi="Times New Roman" w:cs="Times New Roman"/>
                <w:i/>
                <w:sz w:val="20"/>
                <w:szCs w:val="20"/>
                <w:lang w:val="sr-Latn-BA"/>
              </w:rPr>
              <w:t xml:space="preserve"> ажуриране на датум извјештавања)</w:t>
            </w:r>
            <w:r w:rsidRPr="001B11AB">
              <w:rPr>
                <w:rFonts w:ascii="Times New Roman" w:hAnsi="Times New Roman" w:cs="Times New Roman"/>
                <w:i/>
                <w:sz w:val="20"/>
                <w:szCs w:val="20"/>
                <w:lang w:val="sr-Cyrl-BA"/>
              </w:rPr>
              <w:t>.</w:t>
            </w:r>
          </w:p>
          <w:p w14:paraId="1C628290" w14:textId="3113F6D7" w:rsidR="006C44CF" w:rsidRPr="001B11AB" w:rsidRDefault="006C44CF"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Cyrl-BA"/>
              </w:rPr>
              <w:t xml:space="preserve">У овом дијелу </w:t>
            </w:r>
            <w:r w:rsidR="001A52FF" w:rsidRPr="001B11AB">
              <w:rPr>
                <w:rFonts w:ascii="Times New Roman" w:hAnsi="Times New Roman" w:cs="Times New Roman"/>
                <w:i/>
                <w:sz w:val="20"/>
                <w:szCs w:val="20"/>
                <w:lang w:val="sr-Cyrl-BA"/>
              </w:rPr>
              <w:t xml:space="preserve">акценат </w:t>
            </w:r>
            <w:r w:rsidRPr="001B11AB">
              <w:rPr>
                <w:rFonts w:ascii="Times New Roman" w:hAnsi="Times New Roman" w:cs="Times New Roman"/>
                <w:i/>
                <w:sz w:val="20"/>
                <w:szCs w:val="20"/>
                <w:lang w:val="sr-Cyrl-BA"/>
              </w:rPr>
              <w:t xml:space="preserve">се ставља на налазе интерне ревизије у вези са системом унутрашњих контрола, док се детаљнији налази о оцјени </w:t>
            </w:r>
            <w:r w:rsidRPr="001B11AB">
              <w:rPr>
                <w:rFonts w:ascii="Times New Roman" w:hAnsi="Times New Roman" w:cs="Times New Roman"/>
                <w:i/>
                <w:sz w:val="20"/>
                <w:szCs w:val="20"/>
                <w:lang w:val="sr-Latn-BA"/>
              </w:rPr>
              <w:t>ICAAP-а</w:t>
            </w:r>
            <w:r w:rsidRPr="001B11AB">
              <w:rPr>
                <w:rFonts w:ascii="Times New Roman" w:hAnsi="Times New Roman" w:cs="Times New Roman"/>
                <w:i/>
                <w:sz w:val="20"/>
                <w:szCs w:val="20"/>
                <w:lang w:val="sr-Cyrl-BA"/>
              </w:rPr>
              <w:t xml:space="preserve"> наводе у дијелу 2.4.</w:t>
            </w:r>
          </w:p>
          <w:p w14:paraId="0A3798DF" w14:textId="77777777" w:rsidR="006E0070" w:rsidRPr="001B11AB" w:rsidRDefault="006E0070"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Latn-BA"/>
              </w:rPr>
              <w:t xml:space="preserve">Банка </w:t>
            </w:r>
            <w:r w:rsidRPr="001B11AB">
              <w:rPr>
                <w:rFonts w:ascii="Times New Roman" w:hAnsi="Times New Roman" w:cs="Times New Roman"/>
                <w:i/>
                <w:sz w:val="20"/>
                <w:szCs w:val="20"/>
                <w:lang w:val="sr-Cyrl-BA"/>
              </w:rPr>
              <w:t>треба да достави интерна акта којима се дефинише</w:t>
            </w:r>
            <w:r w:rsidRPr="001B11AB">
              <w:rPr>
                <w:rFonts w:ascii="Times New Roman" w:hAnsi="Times New Roman" w:cs="Times New Roman"/>
                <w:i/>
                <w:sz w:val="20"/>
                <w:szCs w:val="20"/>
                <w:lang w:val="sr-Latn-BA"/>
              </w:rPr>
              <w:t xml:space="preserve"> систем </w:t>
            </w:r>
            <w:r w:rsidRPr="001B11AB">
              <w:rPr>
                <w:rFonts w:ascii="Times New Roman" w:hAnsi="Times New Roman" w:cs="Times New Roman"/>
                <w:i/>
                <w:sz w:val="20"/>
                <w:szCs w:val="20"/>
                <w:lang w:val="sr-Cyrl-BA"/>
              </w:rPr>
              <w:t>унутрашњих</w:t>
            </w:r>
            <w:r w:rsidRPr="001B11AB">
              <w:rPr>
                <w:rFonts w:ascii="Times New Roman" w:hAnsi="Times New Roman" w:cs="Times New Roman"/>
                <w:i/>
                <w:sz w:val="20"/>
                <w:szCs w:val="20"/>
                <w:lang w:val="sr-Latn-BA"/>
              </w:rPr>
              <w:t xml:space="preserve"> контрол</w:t>
            </w:r>
            <w:r w:rsidRPr="001B11AB">
              <w:rPr>
                <w:rFonts w:ascii="Times New Roman" w:hAnsi="Times New Roman" w:cs="Times New Roman"/>
                <w:i/>
                <w:sz w:val="20"/>
                <w:szCs w:val="20"/>
                <w:lang w:val="sr-Cyrl-BA"/>
              </w:rPr>
              <w:t>а.</w:t>
            </w:r>
          </w:p>
        </w:tc>
      </w:tr>
    </w:tbl>
    <w:p w14:paraId="4AA8FCCD" w14:textId="77777777" w:rsidR="00E740BB" w:rsidRPr="001B11AB" w:rsidRDefault="00E740BB" w:rsidP="00897F23">
      <w:pPr>
        <w:spacing w:after="0" w:line="240" w:lineRule="auto"/>
        <w:jc w:val="both"/>
        <w:rPr>
          <w:rFonts w:ascii="Times New Roman" w:hAnsi="Times New Roman" w:cs="Times New Roman"/>
          <w:b/>
          <w:lang w:val="hr-HR"/>
        </w:rPr>
      </w:pPr>
    </w:p>
    <w:tbl>
      <w:tblPr>
        <w:tblStyle w:val="TableGrid"/>
        <w:tblW w:w="9464" w:type="dxa"/>
        <w:tblLook w:val="04A0" w:firstRow="1" w:lastRow="0" w:firstColumn="1" w:lastColumn="0" w:noHBand="0" w:noVBand="1"/>
      </w:tblPr>
      <w:tblGrid>
        <w:gridCol w:w="9464"/>
      </w:tblGrid>
      <w:tr w:rsidR="005C6636" w:rsidRPr="001B11AB" w14:paraId="54A0A843" w14:textId="77777777" w:rsidTr="001824A7">
        <w:tc>
          <w:tcPr>
            <w:tcW w:w="9464" w:type="dxa"/>
            <w:tcBorders>
              <w:bottom w:val="single" w:sz="4" w:space="0" w:color="auto"/>
            </w:tcBorders>
            <w:shd w:val="clear" w:color="auto" w:fill="D9D9D9" w:themeFill="background1" w:themeFillShade="D9"/>
          </w:tcPr>
          <w:p w14:paraId="4FF712FF"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 xml:space="preserve">2.4. Надзор и властита процјена </w:t>
            </w:r>
            <w:r w:rsidRPr="001B11AB">
              <w:rPr>
                <w:rFonts w:ascii="Times New Roman" w:hAnsi="Times New Roman" w:cs="Times New Roman"/>
                <w:b/>
                <w:sz w:val="20"/>
                <w:szCs w:val="20"/>
              </w:rPr>
              <w:t>ICAAP</w:t>
            </w:r>
            <w:r w:rsidRPr="001B11AB">
              <w:rPr>
                <w:rFonts w:ascii="Times New Roman" w:hAnsi="Times New Roman" w:cs="Times New Roman"/>
                <w:b/>
                <w:sz w:val="20"/>
                <w:szCs w:val="20"/>
                <w:lang w:val="ru-RU"/>
              </w:rPr>
              <w:t>-</w:t>
            </w:r>
            <w:r w:rsidRPr="001B11AB">
              <w:rPr>
                <w:rFonts w:ascii="Times New Roman" w:hAnsi="Times New Roman" w:cs="Times New Roman"/>
                <w:b/>
                <w:sz w:val="20"/>
                <w:szCs w:val="20"/>
              </w:rPr>
              <w:t>a</w:t>
            </w:r>
            <w:r w:rsidRPr="001B11AB">
              <w:rPr>
                <w:rFonts w:ascii="Times New Roman" w:hAnsi="Times New Roman" w:cs="Times New Roman"/>
                <w:b/>
                <w:sz w:val="20"/>
                <w:szCs w:val="20"/>
                <w:lang w:val="ru-RU"/>
              </w:rPr>
              <w:t xml:space="preserve"> </w:t>
            </w:r>
          </w:p>
        </w:tc>
      </w:tr>
      <w:tr w:rsidR="005C6636" w:rsidRPr="001B11AB" w14:paraId="3F9C048C" w14:textId="77777777" w:rsidTr="00702A82">
        <w:trPr>
          <w:trHeight w:val="543"/>
        </w:trPr>
        <w:tc>
          <w:tcPr>
            <w:tcW w:w="9464" w:type="dxa"/>
            <w:shd w:val="clear" w:color="auto" w:fill="auto"/>
          </w:tcPr>
          <w:p w14:paraId="3263F433" w14:textId="046022A9" w:rsidR="00E740BB" w:rsidRPr="001B11AB" w:rsidRDefault="00F85771" w:rsidP="008F34DE">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sr-Cyrl-CS"/>
              </w:rPr>
              <w:t xml:space="preserve">[Банка наводи како је организована и ко спроводи властиту процјену, односно провјеру и преиспитивање </w:t>
            </w:r>
            <w:r w:rsidRPr="001B11AB">
              <w:rPr>
                <w:rFonts w:ascii="Times New Roman" w:hAnsi="Times New Roman" w:cs="Times New Roman"/>
                <w:i/>
                <w:sz w:val="20"/>
                <w:szCs w:val="20"/>
              </w:rPr>
              <w:t>ICAAP</w:t>
            </w:r>
            <w:r w:rsidRPr="001B11AB">
              <w:rPr>
                <w:rFonts w:ascii="Times New Roman" w:hAnsi="Times New Roman" w:cs="Times New Roman"/>
                <w:i/>
                <w:sz w:val="20"/>
                <w:szCs w:val="20"/>
                <w:lang w:val="ru-RU"/>
              </w:rPr>
              <w:t>-а, те описује резултате и начин на који је извршено</w:t>
            </w:r>
            <w:r w:rsidR="008F34DE" w:rsidRPr="001B11AB">
              <w:rPr>
                <w:rFonts w:ascii="Times New Roman" w:hAnsi="Times New Roman" w:cs="Times New Roman"/>
                <w:i/>
                <w:sz w:val="20"/>
                <w:szCs w:val="20"/>
                <w:lang w:val="ru-RU"/>
              </w:rPr>
              <w:t xml:space="preserve">, </w:t>
            </w:r>
            <w:r w:rsidRPr="001B11AB">
              <w:rPr>
                <w:rFonts w:ascii="Times New Roman" w:hAnsi="Times New Roman" w:cs="Times New Roman"/>
                <w:i/>
                <w:sz w:val="20"/>
                <w:szCs w:val="20"/>
                <w:lang w:val="ru-RU"/>
              </w:rPr>
              <w:t>или ће бити извршено</w:t>
            </w:r>
            <w:r w:rsidR="008F34DE"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ru-RU"/>
              </w:rPr>
              <w:t xml:space="preserve"> прилагођавање и побољшање поступка.</w:t>
            </w:r>
            <w:r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ru-RU"/>
              </w:rPr>
              <w:t xml:space="preserve"> </w:t>
            </w:r>
          </w:p>
        </w:tc>
      </w:tr>
      <w:tr w:rsidR="005C6636" w:rsidRPr="001B11AB" w14:paraId="15744E33" w14:textId="77777777" w:rsidTr="006F4726">
        <w:tc>
          <w:tcPr>
            <w:tcW w:w="9464" w:type="dxa"/>
            <w:shd w:val="clear" w:color="auto" w:fill="auto"/>
          </w:tcPr>
          <w:p w14:paraId="5F67354A" w14:textId="618CE768" w:rsidR="00E740BB" w:rsidRPr="001B11AB" w:rsidRDefault="00157632"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w:t>
            </w:r>
            <w:r w:rsidR="00F85771" w:rsidRPr="001B11AB">
              <w:rPr>
                <w:rFonts w:ascii="Times New Roman" w:hAnsi="Times New Roman" w:cs="Times New Roman"/>
                <w:i/>
                <w:sz w:val="20"/>
                <w:szCs w:val="20"/>
                <w:lang w:val="sr-Cyrl-CS"/>
              </w:rPr>
              <w:t>Банка описује начин провођења процјене адекватности ICAAP-а од стране интерне ревизије и других независних тијела.]</w:t>
            </w:r>
            <w:r w:rsidR="00F85771" w:rsidRPr="001B11AB">
              <w:rPr>
                <w:rFonts w:ascii="Times New Roman" w:hAnsi="Times New Roman" w:cs="Times New Roman"/>
                <w:i/>
                <w:sz w:val="20"/>
                <w:szCs w:val="20"/>
                <w:lang w:val="ru-RU"/>
              </w:rPr>
              <w:t xml:space="preserve"> </w:t>
            </w:r>
          </w:p>
        </w:tc>
      </w:tr>
      <w:tr w:rsidR="005C6636" w:rsidRPr="001B11AB" w14:paraId="5D515A94" w14:textId="77777777" w:rsidTr="006F4726">
        <w:tc>
          <w:tcPr>
            <w:tcW w:w="9464" w:type="dxa"/>
            <w:shd w:val="clear" w:color="auto" w:fill="auto"/>
          </w:tcPr>
          <w:p w14:paraId="29E8A6BD" w14:textId="77777777" w:rsidR="00E740BB" w:rsidRPr="001B11AB" w:rsidRDefault="00F85771" w:rsidP="00897F23">
            <w:pPr>
              <w:widowControl w:val="0"/>
              <w:overflowPunct w:val="0"/>
              <w:autoSpaceDE w:val="0"/>
              <w:autoSpaceDN w:val="0"/>
              <w:adjustRightInd w:val="0"/>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списак извјештаја интерне ревизије и даје кратак преглед најзначајнијих налаза утврђених за период на који се овај извјештај односи. Навести мјере које су предузете на основу налаза интерне ревизије.]</w:t>
            </w:r>
          </w:p>
        </w:tc>
      </w:tr>
      <w:tr w:rsidR="005C6636" w:rsidRPr="001B11AB" w14:paraId="6095075C" w14:textId="77777777" w:rsidTr="00E92210">
        <w:tc>
          <w:tcPr>
            <w:tcW w:w="9464" w:type="dxa"/>
            <w:shd w:val="clear" w:color="auto" w:fill="F2F2F2" w:themeFill="background1" w:themeFillShade="F2"/>
          </w:tcPr>
          <w:p w14:paraId="150CC945" w14:textId="60233972" w:rsidR="006E0070" w:rsidRPr="001B11AB" w:rsidRDefault="006E0070"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b/>
                <w:i/>
                <w:sz w:val="20"/>
                <w:szCs w:val="20"/>
                <w:lang w:val="sr-Cyrl-CS"/>
              </w:rPr>
              <w:t>Напомена:</w:t>
            </w:r>
            <w:r w:rsidRPr="001B11AB">
              <w:rPr>
                <w:rFonts w:ascii="Times New Roman" w:hAnsi="Times New Roman" w:cs="Times New Roman"/>
                <w:i/>
                <w:sz w:val="20"/>
                <w:szCs w:val="20"/>
                <w:lang w:val="sr-Cyrl-CS"/>
              </w:rPr>
              <w:t xml:space="preserve"> </w:t>
            </w:r>
            <w:r w:rsidR="00775BD4" w:rsidRPr="001B11AB">
              <w:rPr>
                <w:rFonts w:ascii="Times New Roman" w:hAnsi="Times New Roman" w:cs="Times New Roman"/>
                <w:i/>
                <w:sz w:val="20"/>
                <w:szCs w:val="20"/>
                <w:lang w:val="sr-Cyrl-BA"/>
              </w:rPr>
              <w:t>Б</w:t>
            </w:r>
            <w:r w:rsidRPr="001B11AB">
              <w:rPr>
                <w:rFonts w:ascii="Times New Roman" w:hAnsi="Times New Roman" w:cs="Times New Roman"/>
                <w:i/>
                <w:sz w:val="20"/>
                <w:szCs w:val="20"/>
                <w:lang w:val="sr-Cyrl-CS"/>
              </w:rPr>
              <w:t xml:space="preserve">анка у овом </w:t>
            </w:r>
            <w:r w:rsidR="002D6114" w:rsidRPr="001B11AB">
              <w:rPr>
                <w:rFonts w:ascii="Times New Roman" w:hAnsi="Times New Roman" w:cs="Times New Roman"/>
                <w:i/>
                <w:sz w:val="20"/>
                <w:szCs w:val="20"/>
                <w:lang w:val="sr-Cyrl-CS"/>
              </w:rPr>
              <w:t>дијелу</w:t>
            </w:r>
            <w:r w:rsidRPr="001B11AB">
              <w:rPr>
                <w:rFonts w:ascii="Times New Roman" w:hAnsi="Times New Roman" w:cs="Times New Roman"/>
                <w:i/>
                <w:sz w:val="20"/>
                <w:szCs w:val="20"/>
                <w:lang w:val="sr-Cyrl-CS"/>
              </w:rPr>
              <w:t xml:space="preserve"> наводи опис начина на који је у банци упостављен надзор и властита процјена ICAAP-а, </w:t>
            </w:r>
            <w:r w:rsidR="002D6114" w:rsidRPr="001B11AB">
              <w:rPr>
                <w:rFonts w:ascii="Times New Roman" w:hAnsi="Times New Roman" w:cs="Times New Roman"/>
                <w:i/>
                <w:sz w:val="20"/>
                <w:szCs w:val="20"/>
                <w:lang w:val="sr-Cyrl-CS"/>
              </w:rPr>
              <w:t>укључујући</w:t>
            </w:r>
            <w:r w:rsidRPr="001B11AB">
              <w:rPr>
                <w:rFonts w:ascii="Times New Roman" w:hAnsi="Times New Roman" w:cs="Times New Roman"/>
                <w:i/>
                <w:sz w:val="20"/>
                <w:szCs w:val="20"/>
                <w:lang w:val="sr-Cyrl-CS"/>
              </w:rPr>
              <w:t xml:space="preserve"> начин провођења процјене адекватности ICAAP-а од стране интерне ревизије и других контролних функција, управе и надзорног одбора банке, вишег руководства, посебно формираних одбора или других стручних тијела укључених у надзор и процјену ICAAP-а у банци.</w:t>
            </w:r>
          </w:p>
          <w:p w14:paraId="269205F4" w14:textId="5AC67362" w:rsidR="006E0070" w:rsidRPr="001B11AB" w:rsidRDefault="006F496F" w:rsidP="00897F2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Cyrl-BA"/>
              </w:rPr>
              <w:t>С</w:t>
            </w:r>
            <w:r w:rsidR="006E0070" w:rsidRPr="001B11AB">
              <w:rPr>
                <w:rFonts w:ascii="Times New Roman" w:hAnsi="Times New Roman" w:cs="Times New Roman"/>
                <w:i/>
                <w:sz w:val="20"/>
                <w:szCs w:val="20"/>
                <w:lang w:val="sr-Latn-BA"/>
              </w:rPr>
              <w:t>амо</w:t>
            </w:r>
            <w:r w:rsidR="006E0070" w:rsidRPr="001B11AB">
              <w:rPr>
                <w:rFonts w:ascii="Times New Roman" w:hAnsi="Times New Roman" w:cs="Times New Roman"/>
                <w:i/>
                <w:sz w:val="20"/>
                <w:szCs w:val="20"/>
                <w:lang w:val="sr-Cyrl-BA"/>
              </w:rPr>
              <w:t>процјену</w:t>
            </w:r>
            <w:r w:rsidR="006E0070" w:rsidRPr="001B11AB">
              <w:rPr>
                <w:rFonts w:ascii="Times New Roman" w:hAnsi="Times New Roman" w:cs="Times New Roman"/>
                <w:i/>
                <w:sz w:val="20"/>
                <w:szCs w:val="20"/>
                <w:lang w:val="sr-Latn-BA"/>
              </w:rPr>
              <w:t xml:space="preserve"> </w:t>
            </w:r>
            <w:r w:rsidR="006E0070" w:rsidRPr="001B11AB">
              <w:rPr>
                <w:rFonts w:ascii="Times New Roman" w:hAnsi="Times New Roman" w:cs="Times New Roman"/>
                <w:i/>
                <w:sz w:val="20"/>
                <w:szCs w:val="20"/>
                <w:lang w:val="sr-Cyrl-BA"/>
              </w:rPr>
              <w:t>проводи</w:t>
            </w:r>
            <w:r w:rsidR="006E0070" w:rsidRPr="001B11AB">
              <w:rPr>
                <w:rFonts w:ascii="Times New Roman" w:hAnsi="Times New Roman" w:cs="Times New Roman"/>
                <w:i/>
                <w:sz w:val="20"/>
                <w:szCs w:val="20"/>
                <w:lang w:val="sr-Latn-BA"/>
              </w:rPr>
              <w:t xml:space="preserve"> </w:t>
            </w:r>
            <w:r w:rsidR="006C44CF" w:rsidRPr="001B11AB">
              <w:rPr>
                <w:rFonts w:ascii="Times New Roman" w:hAnsi="Times New Roman" w:cs="Times New Roman"/>
                <w:i/>
                <w:sz w:val="20"/>
                <w:szCs w:val="20"/>
                <w:lang w:val="sr-Cyrl-BA"/>
              </w:rPr>
              <w:t xml:space="preserve">и координише </w:t>
            </w:r>
            <w:r w:rsidR="006E0070" w:rsidRPr="001B11AB">
              <w:rPr>
                <w:rFonts w:ascii="Times New Roman" w:hAnsi="Times New Roman" w:cs="Times New Roman"/>
                <w:i/>
                <w:sz w:val="20"/>
                <w:szCs w:val="20"/>
                <w:lang w:val="sr-Latn-BA"/>
              </w:rPr>
              <w:t>функција управљања ризи</w:t>
            </w:r>
            <w:r w:rsidR="006E0070" w:rsidRPr="001B11AB">
              <w:rPr>
                <w:rFonts w:ascii="Times New Roman" w:hAnsi="Times New Roman" w:cs="Times New Roman"/>
                <w:i/>
                <w:sz w:val="20"/>
                <w:szCs w:val="20"/>
                <w:lang w:val="sr-Cyrl-BA"/>
              </w:rPr>
              <w:t>цима</w:t>
            </w:r>
            <w:r w:rsidR="0045783C" w:rsidRPr="001B11AB">
              <w:rPr>
                <w:rFonts w:ascii="Times New Roman" w:hAnsi="Times New Roman" w:cs="Times New Roman"/>
                <w:i/>
                <w:sz w:val="20"/>
                <w:szCs w:val="20"/>
                <w:lang w:val="sr-Latn-BA"/>
              </w:rPr>
              <w:t>, при чему</w:t>
            </w:r>
            <w:r w:rsidR="006E0070" w:rsidRPr="001B11AB">
              <w:rPr>
                <w:rFonts w:ascii="Times New Roman" w:hAnsi="Times New Roman" w:cs="Times New Roman"/>
                <w:i/>
                <w:sz w:val="20"/>
                <w:szCs w:val="20"/>
                <w:lang w:val="sr-Latn-BA"/>
              </w:rPr>
              <w:t xml:space="preserve"> </w:t>
            </w:r>
            <w:r w:rsidRPr="001B11AB">
              <w:rPr>
                <w:rFonts w:ascii="Times New Roman" w:hAnsi="Times New Roman" w:cs="Times New Roman"/>
                <w:i/>
                <w:sz w:val="20"/>
                <w:szCs w:val="20"/>
                <w:lang w:val="sr-Cyrl-BA"/>
              </w:rPr>
              <w:t xml:space="preserve">треба </w:t>
            </w:r>
            <w:r w:rsidR="006E0070" w:rsidRPr="001B11AB">
              <w:rPr>
                <w:rFonts w:ascii="Times New Roman" w:hAnsi="Times New Roman" w:cs="Times New Roman"/>
                <w:i/>
                <w:sz w:val="20"/>
                <w:szCs w:val="20"/>
                <w:lang w:val="sr-Latn-BA"/>
              </w:rPr>
              <w:t>да идентификује све области које могу да се унаприједе у наредном ICAAP-у. ICAAP</w:t>
            </w:r>
            <w:r w:rsidRPr="001B11AB">
              <w:rPr>
                <w:rFonts w:ascii="Times New Roman" w:hAnsi="Times New Roman" w:cs="Times New Roman"/>
                <w:i/>
                <w:sz w:val="20"/>
                <w:szCs w:val="20"/>
                <w:lang w:val="sr-Cyrl-BA"/>
              </w:rPr>
              <w:t xml:space="preserve"> представља</w:t>
            </w:r>
            <w:r w:rsidR="006E0070" w:rsidRPr="001B11AB">
              <w:rPr>
                <w:rFonts w:ascii="Times New Roman" w:hAnsi="Times New Roman" w:cs="Times New Roman"/>
                <w:i/>
                <w:sz w:val="20"/>
                <w:szCs w:val="20"/>
                <w:lang w:val="sr-Latn-BA"/>
              </w:rPr>
              <w:t xml:space="preserve"> </w:t>
            </w:r>
            <w:r w:rsidRPr="001B11AB">
              <w:rPr>
                <w:rFonts w:ascii="Times New Roman" w:hAnsi="Times New Roman" w:cs="Times New Roman"/>
                <w:i/>
                <w:sz w:val="20"/>
                <w:szCs w:val="20"/>
                <w:lang w:val="sr-Cyrl-BA"/>
              </w:rPr>
              <w:t>континуирани</w:t>
            </w:r>
            <w:r w:rsidR="006E0070" w:rsidRPr="001B11AB">
              <w:rPr>
                <w:rFonts w:ascii="Times New Roman" w:hAnsi="Times New Roman" w:cs="Times New Roman"/>
                <w:i/>
                <w:sz w:val="20"/>
                <w:szCs w:val="20"/>
                <w:lang w:val="sr-Latn-BA"/>
              </w:rPr>
              <w:t xml:space="preserve"> процес који би требало да се унапређује на годишњој основи, тако да</w:t>
            </w:r>
            <w:r w:rsidR="00A87812" w:rsidRPr="001B11AB">
              <w:rPr>
                <w:rFonts w:ascii="Times New Roman" w:hAnsi="Times New Roman" w:cs="Times New Roman"/>
                <w:i/>
                <w:sz w:val="20"/>
                <w:szCs w:val="20"/>
                <w:lang w:val="sr-Cyrl-BA"/>
              </w:rPr>
              <w:t xml:space="preserve"> се</w:t>
            </w:r>
            <w:r w:rsidR="006E0070" w:rsidRPr="001B11AB">
              <w:rPr>
                <w:rFonts w:ascii="Times New Roman" w:hAnsi="Times New Roman" w:cs="Times New Roman"/>
                <w:i/>
                <w:sz w:val="20"/>
                <w:szCs w:val="20"/>
                <w:lang w:val="sr-Latn-BA"/>
              </w:rPr>
              <w:t xml:space="preserve"> постојање области за унапређ</w:t>
            </w:r>
            <w:r w:rsidR="0045783C" w:rsidRPr="001B11AB">
              <w:rPr>
                <w:rFonts w:ascii="Times New Roman" w:hAnsi="Times New Roman" w:cs="Times New Roman"/>
                <w:i/>
                <w:sz w:val="20"/>
                <w:szCs w:val="20"/>
                <w:lang w:val="sr-Cyrl-BA"/>
              </w:rPr>
              <w:t>ива</w:t>
            </w:r>
            <w:r w:rsidR="006E0070" w:rsidRPr="001B11AB">
              <w:rPr>
                <w:rFonts w:ascii="Times New Roman" w:hAnsi="Times New Roman" w:cs="Times New Roman"/>
                <w:i/>
                <w:sz w:val="20"/>
                <w:szCs w:val="20"/>
                <w:lang w:val="sr-Latn-BA"/>
              </w:rPr>
              <w:t xml:space="preserve">ње </w:t>
            </w:r>
            <w:r w:rsidRPr="001B11AB">
              <w:rPr>
                <w:rFonts w:ascii="Times New Roman" w:hAnsi="Times New Roman" w:cs="Times New Roman"/>
                <w:i/>
                <w:sz w:val="20"/>
                <w:szCs w:val="20"/>
                <w:lang w:val="sr-Cyrl-BA"/>
              </w:rPr>
              <w:t>не сматра лошом праксом</w:t>
            </w:r>
            <w:r w:rsidR="006E0070" w:rsidRPr="001B11AB">
              <w:rPr>
                <w:rFonts w:ascii="Times New Roman" w:hAnsi="Times New Roman" w:cs="Times New Roman"/>
                <w:i/>
                <w:sz w:val="20"/>
                <w:szCs w:val="20"/>
                <w:lang w:val="sr-Latn-BA"/>
              </w:rPr>
              <w:t>.</w:t>
            </w:r>
          </w:p>
          <w:p w14:paraId="4AFB29B9" w14:textId="77777777" w:rsidR="002D6114" w:rsidRPr="001B11AB" w:rsidRDefault="002D6114"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BA"/>
              </w:rPr>
              <w:t xml:space="preserve">Самопроцјена треба да буде структурирана на исти начин као </w:t>
            </w:r>
            <w:r w:rsidRPr="001B11AB">
              <w:rPr>
                <w:rFonts w:ascii="Times New Roman" w:hAnsi="Times New Roman" w:cs="Times New Roman"/>
                <w:i/>
                <w:sz w:val="20"/>
                <w:szCs w:val="20"/>
                <w:lang w:val="sr-Cyrl-CS"/>
              </w:rPr>
              <w:t>ICAAP, односно потребно је навести самопроцјену свих фаза провођења ICAAP-а у банци.</w:t>
            </w:r>
          </w:p>
          <w:p w14:paraId="207C6E02" w14:textId="058FA606" w:rsidR="002D6114" w:rsidRPr="001B11AB" w:rsidRDefault="002D6114" w:rsidP="003818E3">
            <w:pPr>
              <w:spacing w:after="60"/>
              <w:jc w:val="both"/>
              <w:rPr>
                <w:rFonts w:ascii="Times New Roman" w:hAnsi="Times New Roman" w:cs="Times New Roman"/>
                <w:i/>
                <w:sz w:val="20"/>
                <w:szCs w:val="20"/>
                <w:lang w:val="sr-Cyrl-BA"/>
              </w:rPr>
            </w:pPr>
            <w:r w:rsidRPr="001B11AB">
              <w:rPr>
                <w:rFonts w:ascii="Times New Roman" w:hAnsi="Times New Roman" w:cs="Times New Roman"/>
                <w:i/>
                <w:sz w:val="20"/>
                <w:szCs w:val="20"/>
                <w:lang w:val="sr-Cyrl-CS"/>
              </w:rPr>
              <w:t xml:space="preserve">Такође, поред навођења налаза </w:t>
            </w:r>
            <w:r w:rsidR="00F85771" w:rsidRPr="001B11AB">
              <w:rPr>
                <w:rFonts w:ascii="Times New Roman" w:hAnsi="Times New Roman" w:cs="Times New Roman"/>
                <w:i/>
                <w:sz w:val="20"/>
                <w:szCs w:val="20"/>
                <w:lang w:val="sr-Cyrl-CS"/>
              </w:rPr>
              <w:t xml:space="preserve">оцјене </w:t>
            </w:r>
            <w:r w:rsidR="00F85771" w:rsidRPr="001B11AB">
              <w:rPr>
                <w:rFonts w:ascii="Times New Roman" w:hAnsi="Times New Roman" w:cs="Times New Roman"/>
                <w:i/>
                <w:sz w:val="20"/>
                <w:szCs w:val="20"/>
                <w:lang w:val="sr-Latn-BA"/>
              </w:rPr>
              <w:t>ICAAP</w:t>
            </w:r>
            <w:r w:rsidR="00F85771" w:rsidRPr="001B11AB">
              <w:rPr>
                <w:rFonts w:ascii="Times New Roman" w:hAnsi="Times New Roman" w:cs="Times New Roman"/>
                <w:i/>
                <w:sz w:val="20"/>
                <w:szCs w:val="20"/>
                <w:lang w:val="sr-Cyrl-BA"/>
              </w:rPr>
              <w:t>-а коју проводи</w:t>
            </w:r>
            <w:r w:rsidR="00F85771"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интерн</w:t>
            </w:r>
            <w:r w:rsidR="00F85771" w:rsidRPr="001B11AB">
              <w:rPr>
                <w:rFonts w:ascii="Times New Roman" w:hAnsi="Times New Roman" w:cs="Times New Roman"/>
                <w:i/>
                <w:sz w:val="20"/>
                <w:szCs w:val="20"/>
                <w:lang w:val="sr-Cyrl-CS"/>
              </w:rPr>
              <w:t>а</w:t>
            </w:r>
            <w:r w:rsidRPr="001B11AB">
              <w:rPr>
                <w:rFonts w:ascii="Times New Roman" w:hAnsi="Times New Roman" w:cs="Times New Roman"/>
                <w:i/>
                <w:sz w:val="20"/>
                <w:szCs w:val="20"/>
                <w:lang w:val="sr-Cyrl-CS"/>
              </w:rPr>
              <w:t xml:space="preserve"> ревизиј</w:t>
            </w:r>
            <w:r w:rsidR="00785397" w:rsidRPr="001B11AB">
              <w:rPr>
                <w:rFonts w:ascii="Times New Roman" w:hAnsi="Times New Roman" w:cs="Times New Roman"/>
                <w:i/>
                <w:sz w:val="20"/>
                <w:szCs w:val="20"/>
                <w:lang w:val="sr-Cyrl-CS"/>
              </w:rPr>
              <w:t>а</w:t>
            </w:r>
            <w:r w:rsidRPr="001B11AB">
              <w:rPr>
                <w:rFonts w:ascii="Times New Roman" w:hAnsi="Times New Roman" w:cs="Times New Roman"/>
                <w:i/>
                <w:sz w:val="20"/>
                <w:szCs w:val="20"/>
                <w:lang w:val="sr-Cyrl-CS"/>
              </w:rPr>
              <w:t xml:space="preserve">, потребно је објаснити </w:t>
            </w:r>
            <w:r w:rsidR="003818E3" w:rsidRPr="001B11AB">
              <w:rPr>
                <w:rFonts w:ascii="Times New Roman" w:hAnsi="Times New Roman" w:cs="Times New Roman"/>
                <w:i/>
                <w:sz w:val="20"/>
                <w:szCs w:val="20"/>
                <w:lang w:val="sr-Cyrl-CS"/>
              </w:rPr>
              <w:t xml:space="preserve">проведене </w:t>
            </w:r>
            <w:r w:rsidRPr="001B11AB">
              <w:rPr>
                <w:rFonts w:ascii="Times New Roman" w:hAnsi="Times New Roman" w:cs="Times New Roman"/>
                <w:i/>
                <w:sz w:val="20"/>
                <w:szCs w:val="20"/>
                <w:lang w:val="sr-Cyrl-CS"/>
              </w:rPr>
              <w:t>контролн</w:t>
            </w:r>
            <w:r w:rsidR="00F85771" w:rsidRPr="001B11AB">
              <w:rPr>
                <w:rFonts w:ascii="Times New Roman" w:hAnsi="Times New Roman" w:cs="Times New Roman"/>
                <w:i/>
                <w:sz w:val="20"/>
                <w:szCs w:val="20"/>
                <w:lang w:val="sr-Cyrl-CS"/>
              </w:rPr>
              <w:t>е активности, као и технике које су коришћене приликом прегледа</w:t>
            </w:r>
            <w:r w:rsidR="0059493D" w:rsidRPr="001B11AB">
              <w:rPr>
                <w:rFonts w:ascii="Times New Roman" w:hAnsi="Times New Roman" w:cs="Times New Roman"/>
                <w:i/>
                <w:sz w:val="20"/>
                <w:szCs w:val="20"/>
                <w:lang w:val="sr-Cyrl-CS"/>
              </w:rPr>
              <w:t xml:space="preserve"> </w:t>
            </w:r>
            <w:r w:rsidR="00F85771" w:rsidRPr="001B11AB">
              <w:rPr>
                <w:rFonts w:ascii="Times New Roman" w:hAnsi="Times New Roman" w:cs="Times New Roman"/>
                <w:i/>
                <w:sz w:val="20"/>
                <w:szCs w:val="20"/>
                <w:lang w:val="sr-Cyrl-CS"/>
              </w:rPr>
              <w:t>од стране интерне ревизије.</w:t>
            </w:r>
            <w:r w:rsidR="0059493D" w:rsidRPr="001B11AB">
              <w:rPr>
                <w:rFonts w:ascii="Times New Roman" w:hAnsi="Times New Roman" w:cs="Times New Roman"/>
                <w:i/>
                <w:sz w:val="20"/>
                <w:szCs w:val="20"/>
                <w:lang w:val="sr-Cyrl-CS"/>
              </w:rPr>
              <w:t xml:space="preserve"> </w:t>
            </w:r>
          </w:p>
        </w:tc>
      </w:tr>
    </w:tbl>
    <w:p w14:paraId="698E690C" w14:textId="77777777" w:rsidR="001824A7" w:rsidRPr="001B11AB" w:rsidRDefault="001824A7" w:rsidP="00DB2A29">
      <w:pPr>
        <w:spacing w:after="0" w:line="240" w:lineRule="auto"/>
        <w:jc w:val="both"/>
        <w:rPr>
          <w:rStyle w:val="Heading2Char"/>
          <w:rFonts w:ascii="Times New Roman" w:hAnsi="Times New Roman" w:cs="Times New Roman"/>
          <w:b w:val="0"/>
          <w:bCs w:val="0"/>
          <w:color w:val="auto"/>
          <w:sz w:val="22"/>
          <w:szCs w:val="22"/>
          <w:lang w:val="ru-RU"/>
        </w:rPr>
      </w:pPr>
    </w:p>
    <w:p w14:paraId="1760E2BB" w14:textId="77777777" w:rsidR="001824A7" w:rsidRPr="001B11AB" w:rsidRDefault="001824A7" w:rsidP="00DB2A29">
      <w:pPr>
        <w:pStyle w:val="ListParagraph"/>
        <w:spacing w:after="0" w:line="240" w:lineRule="auto"/>
        <w:ind w:left="0"/>
        <w:contextualSpacing w:val="0"/>
        <w:jc w:val="both"/>
        <w:rPr>
          <w:rStyle w:val="Heading2Char"/>
          <w:rFonts w:ascii="Times New Roman" w:hAnsi="Times New Roman" w:cs="Times New Roman"/>
          <w:b w:val="0"/>
          <w:bCs w:val="0"/>
          <w:color w:val="auto"/>
          <w:sz w:val="22"/>
          <w:szCs w:val="22"/>
          <w:lang w:val="ru-RU"/>
        </w:rPr>
      </w:pPr>
    </w:p>
    <w:p w14:paraId="7AE6CC96" w14:textId="77777777" w:rsidR="00E740BB" w:rsidRPr="001B11AB" w:rsidRDefault="00E740BB" w:rsidP="003B73A4">
      <w:pPr>
        <w:pStyle w:val="ListParagraph"/>
        <w:numPr>
          <w:ilvl w:val="0"/>
          <w:numId w:val="25"/>
        </w:numPr>
        <w:spacing w:after="120" w:line="240" w:lineRule="auto"/>
        <w:ind w:left="567" w:hanging="357"/>
        <w:contextualSpacing w:val="0"/>
        <w:jc w:val="both"/>
        <w:rPr>
          <w:rStyle w:val="Heading2Char"/>
          <w:rFonts w:ascii="Times New Roman" w:hAnsi="Times New Roman" w:cs="Times New Roman"/>
          <w:color w:val="auto"/>
          <w:sz w:val="22"/>
          <w:szCs w:val="22"/>
        </w:rPr>
      </w:pPr>
      <w:r w:rsidRPr="001B11AB">
        <w:rPr>
          <w:rStyle w:val="Heading2Char"/>
          <w:rFonts w:ascii="Times New Roman" w:hAnsi="Times New Roman" w:cs="Times New Roman"/>
          <w:color w:val="auto"/>
          <w:sz w:val="22"/>
          <w:szCs w:val="22"/>
        </w:rPr>
        <w:t>ПЛАНОВИ КАПИТАЛА</w:t>
      </w:r>
    </w:p>
    <w:tbl>
      <w:tblPr>
        <w:tblStyle w:val="TableGrid"/>
        <w:tblW w:w="9464" w:type="dxa"/>
        <w:tblLook w:val="04A0" w:firstRow="1" w:lastRow="0" w:firstColumn="1" w:lastColumn="0" w:noHBand="0" w:noVBand="1"/>
      </w:tblPr>
      <w:tblGrid>
        <w:gridCol w:w="9464"/>
      </w:tblGrid>
      <w:tr w:rsidR="005C6636" w:rsidRPr="001B11AB" w14:paraId="54746B57" w14:textId="77777777" w:rsidTr="001824A7">
        <w:tc>
          <w:tcPr>
            <w:tcW w:w="9464" w:type="dxa"/>
            <w:tcBorders>
              <w:bottom w:val="single" w:sz="4" w:space="0" w:color="auto"/>
            </w:tcBorders>
            <w:shd w:val="clear" w:color="auto" w:fill="D9D9D9" w:themeFill="background1" w:themeFillShade="D9"/>
          </w:tcPr>
          <w:p w14:paraId="0343A097"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b/>
                <w:sz w:val="20"/>
                <w:szCs w:val="20"/>
              </w:rPr>
              <w:t xml:space="preserve">3. Планови капитала </w:t>
            </w:r>
          </w:p>
        </w:tc>
      </w:tr>
      <w:tr w:rsidR="005C6636" w:rsidRPr="001B11AB" w14:paraId="629018BC" w14:textId="77777777" w:rsidTr="006F4726">
        <w:tc>
          <w:tcPr>
            <w:tcW w:w="9464" w:type="dxa"/>
            <w:shd w:val="clear" w:color="auto" w:fill="auto"/>
          </w:tcPr>
          <w:p w14:paraId="1146C213" w14:textId="29135365" w:rsidR="00E740BB" w:rsidRPr="001B11AB" w:rsidRDefault="00E740BB" w:rsidP="003818E3">
            <w:pPr>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анализу разлика између циљног и </w:t>
            </w:r>
            <w:r w:rsidR="00EC1920" w:rsidRPr="001B11AB">
              <w:rPr>
                <w:rFonts w:ascii="Times New Roman" w:hAnsi="Times New Roman" w:cs="Times New Roman"/>
                <w:i/>
                <w:sz w:val="20"/>
                <w:szCs w:val="20"/>
                <w:lang w:val="sr-Cyrl-CS"/>
              </w:rPr>
              <w:t>о</w:t>
            </w:r>
            <w:r w:rsidRPr="001B11AB">
              <w:rPr>
                <w:rFonts w:ascii="Times New Roman" w:hAnsi="Times New Roman" w:cs="Times New Roman"/>
                <w:i/>
                <w:sz w:val="20"/>
                <w:szCs w:val="20"/>
                <w:lang w:val="sr-Cyrl-CS"/>
              </w:rPr>
              <w:t>ствар</w:t>
            </w:r>
            <w:r w:rsidR="00EC1920" w:rsidRPr="001B11AB">
              <w:rPr>
                <w:rFonts w:ascii="Times New Roman" w:hAnsi="Times New Roman" w:cs="Times New Roman"/>
                <w:i/>
                <w:sz w:val="20"/>
                <w:szCs w:val="20"/>
                <w:lang w:val="sr-Cyrl-CS"/>
              </w:rPr>
              <w:t>е</w:t>
            </w:r>
            <w:r w:rsidRPr="001B11AB">
              <w:rPr>
                <w:rFonts w:ascii="Times New Roman" w:hAnsi="Times New Roman" w:cs="Times New Roman"/>
                <w:i/>
                <w:sz w:val="20"/>
                <w:szCs w:val="20"/>
                <w:lang w:val="sr-Cyrl-CS"/>
              </w:rPr>
              <w:t>ног капитала у претходном периоду</w:t>
            </w:r>
            <w:r w:rsidR="003818E3" w:rsidRPr="001B11AB">
              <w:rPr>
                <w:rFonts w:ascii="Times New Roman" w:hAnsi="Times New Roman" w:cs="Times New Roman"/>
                <w:i/>
                <w:sz w:val="20"/>
                <w:szCs w:val="20"/>
                <w:lang w:val="sr-Cyrl-CS"/>
              </w:rPr>
              <w:t>, и то</w:t>
            </w:r>
            <w:r w:rsidRPr="001B11AB">
              <w:rPr>
                <w:rFonts w:ascii="Times New Roman" w:hAnsi="Times New Roman" w:cs="Times New Roman"/>
                <w:i/>
                <w:sz w:val="20"/>
                <w:szCs w:val="20"/>
                <w:lang w:val="sr-Cyrl-CS"/>
              </w:rPr>
              <w:t xml:space="preserve"> за посљедње три године.</w:t>
            </w:r>
            <w:r w:rsidR="00282BB7" w:rsidRPr="001B11AB">
              <w:rPr>
                <w:rFonts w:ascii="Times New Roman" w:hAnsi="Times New Roman" w:cs="Times New Roman"/>
                <w:i/>
                <w:sz w:val="20"/>
                <w:szCs w:val="20"/>
                <w:lang w:val="sr-Cyrl-CS"/>
              </w:rPr>
              <w:t xml:space="preserve"> Такође, наводи се разлика између планираних и остварених стопа капитала у претходном периоду.</w:t>
            </w:r>
            <w:r w:rsidRPr="001B11AB">
              <w:rPr>
                <w:rFonts w:ascii="Times New Roman" w:hAnsi="Times New Roman" w:cs="Times New Roman"/>
                <w:i/>
                <w:sz w:val="20"/>
                <w:szCs w:val="20"/>
                <w:lang w:val="sr-Cyrl-CS"/>
              </w:rPr>
              <w:t>]</w:t>
            </w:r>
            <w:r w:rsidRPr="001B11AB">
              <w:rPr>
                <w:rFonts w:ascii="Times New Roman" w:hAnsi="Times New Roman" w:cs="Times New Roman"/>
                <w:sz w:val="16"/>
                <w:szCs w:val="16"/>
                <w:lang w:val="ru-RU"/>
              </w:rPr>
              <w:t xml:space="preserve"> </w:t>
            </w:r>
          </w:p>
        </w:tc>
      </w:tr>
      <w:tr w:rsidR="005C6636" w:rsidRPr="001B11AB" w14:paraId="3E61833F" w14:textId="77777777" w:rsidTr="006F4726">
        <w:tc>
          <w:tcPr>
            <w:tcW w:w="9464" w:type="dxa"/>
            <w:shd w:val="clear" w:color="auto" w:fill="auto"/>
          </w:tcPr>
          <w:p w14:paraId="4D11C93A"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планирани апсолутни износ и структуру регулаторног капитала, којим ће покрити све значајне ризике из свог пословања за наредне три године.]</w:t>
            </w:r>
          </w:p>
        </w:tc>
      </w:tr>
      <w:tr w:rsidR="005C6636" w:rsidRPr="001B11AB" w14:paraId="7708A84A" w14:textId="77777777" w:rsidTr="006F4726">
        <w:tc>
          <w:tcPr>
            <w:tcW w:w="9464" w:type="dxa"/>
            <w:shd w:val="clear" w:color="auto" w:fill="auto"/>
          </w:tcPr>
          <w:p w14:paraId="3DF4E52C" w14:textId="2308BA39" w:rsidR="00E740BB" w:rsidRPr="001B11AB" w:rsidRDefault="00E740BB" w:rsidP="003818E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описује методологију за планирање</w:t>
            </w:r>
            <w:r w:rsidR="003818E3" w:rsidRPr="001B11AB">
              <w:rPr>
                <w:rFonts w:ascii="Times New Roman" w:hAnsi="Times New Roman" w:cs="Times New Roman"/>
                <w:i/>
                <w:sz w:val="20"/>
                <w:szCs w:val="20"/>
                <w:lang w:val="sr-Cyrl-CS"/>
              </w:rPr>
              <w:t xml:space="preserve">, тј. </w:t>
            </w:r>
            <w:r w:rsidRPr="001B11AB">
              <w:rPr>
                <w:rFonts w:ascii="Times New Roman" w:hAnsi="Times New Roman" w:cs="Times New Roman"/>
                <w:i/>
                <w:sz w:val="20"/>
                <w:szCs w:val="20"/>
                <w:lang w:val="sr-Cyrl-CS"/>
              </w:rPr>
              <w:t>факторе које је узела у обзир приликом дефинисања стратегије капитала, уз наво</w:t>
            </w:r>
            <w:r w:rsidR="003818E3" w:rsidRPr="001B11AB">
              <w:rPr>
                <w:rFonts w:ascii="Times New Roman" w:hAnsi="Times New Roman" w:cs="Times New Roman"/>
                <w:i/>
                <w:sz w:val="20"/>
                <w:szCs w:val="20"/>
                <w:lang w:val="sr-Cyrl-CS"/>
              </w:rPr>
              <w:t>ђење релевантних интерних аката</w:t>
            </w:r>
            <w:r w:rsidRPr="001B11AB">
              <w:rPr>
                <w:rFonts w:ascii="Times New Roman" w:hAnsi="Times New Roman" w:cs="Times New Roman"/>
                <w:i/>
                <w:sz w:val="20"/>
                <w:szCs w:val="20"/>
                <w:lang w:val="sr-Cyrl-CS"/>
              </w:rPr>
              <w:t>.]</w:t>
            </w:r>
          </w:p>
        </w:tc>
      </w:tr>
      <w:tr w:rsidR="005C6636" w:rsidRPr="001B11AB" w14:paraId="38535DA3" w14:textId="77777777" w:rsidTr="006F4726">
        <w:tc>
          <w:tcPr>
            <w:tcW w:w="9464" w:type="dxa"/>
            <w:shd w:val="clear" w:color="auto" w:fill="auto"/>
          </w:tcPr>
          <w:p w14:paraId="222D20E3" w14:textId="083A4040" w:rsidR="00E740BB" w:rsidRPr="001B11AB" w:rsidRDefault="00E740BB" w:rsidP="003818E3">
            <w:pPr>
              <w:widowControl w:val="0"/>
              <w:overflowPunct w:val="0"/>
              <w:autoSpaceDE w:val="0"/>
              <w:autoSpaceDN w:val="0"/>
              <w:adjustRightInd w:val="0"/>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описује најважније елементе плана за управљање капиталом из члана 2. ове одлуке и доставља план на појединачној основи и на консолидованој основи</w:t>
            </w:r>
            <w:r w:rsidR="003818E3" w:rsidRPr="001B11AB">
              <w:rPr>
                <w:rFonts w:ascii="Times New Roman" w:hAnsi="Times New Roman" w:cs="Times New Roman"/>
                <w:i/>
                <w:sz w:val="20"/>
                <w:szCs w:val="20"/>
                <w:lang w:val="sr-Cyrl-CS"/>
              </w:rPr>
              <w:t>, уколико је примјењиво</w:t>
            </w:r>
            <w:r w:rsidRPr="001B11AB">
              <w:rPr>
                <w:rFonts w:ascii="Times New Roman" w:hAnsi="Times New Roman" w:cs="Times New Roman"/>
                <w:i/>
                <w:sz w:val="20"/>
                <w:szCs w:val="20"/>
                <w:lang w:val="sr-Cyrl-CS"/>
              </w:rPr>
              <w:t>.]</w:t>
            </w:r>
            <w:r w:rsidR="0059493D" w:rsidRPr="001B11AB">
              <w:rPr>
                <w:rFonts w:ascii="Times New Roman" w:hAnsi="Times New Roman" w:cs="Times New Roman"/>
                <w:sz w:val="16"/>
                <w:szCs w:val="16"/>
                <w:lang w:val="ru-RU"/>
              </w:rPr>
              <w:t xml:space="preserve"> </w:t>
            </w:r>
          </w:p>
        </w:tc>
      </w:tr>
      <w:tr w:rsidR="005C6636" w:rsidRPr="001B11AB" w14:paraId="25E7F5CA" w14:textId="77777777" w:rsidTr="006F4726">
        <w:tc>
          <w:tcPr>
            <w:tcW w:w="9464" w:type="dxa"/>
            <w:shd w:val="clear" w:color="auto" w:fill="auto"/>
          </w:tcPr>
          <w:p w14:paraId="713C0064" w14:textId="77C118AC" w:rsidR="00E740BB" w:rsidRPr="001B11AB" w:rsidRDefault="00E740BB" w:rsidP="003818E3">
            <w:pPr>
              <w:widowControl w:val="0"/>
              <w:overflowPunct w:val="0"/>
              <w:autoSpaceDE w:val="0"/>
              <w:autoSpaceDN w:val="0"/>
              <w:adjustRightInd w:val="0"/>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описује поступак спровођења тестирања </w:t>
            </w:r>
            <w:r w:rsidR="006C44CF" w:rsidRPr="001B11AB">
              <w:rPr>
                <w:rFonts w:ascii="Times New Roman" w:hAnsi="Times New Roman" w:cs="Times New Roman"/>
                <w:i/>
                <w:sz w:val="20"/>
                <w:szCs w:val="20"/>
                <w:lang w:val="sr-Cyrl-CS"/>
              </w:rPr>
              <w:t xml:space="preserve">отпорности на стрес </w:t>
            </w:r>
            <w:r w:rsidRPr="001B11AB">
              <w:rPr>
                <w:rFonts w:ascii="Times New Roman" w:hAnsi="Times New Roman" w:cs="Times New Roman"/>
                <w:i/>
                <w:sz w:val="20"/>
                <w:szCs w:val="20"/>
                <w:lang w:val="sr-Cyrl-CS"/>
              </w:rPr>
              <w:t xml:space="preserve">и резултате </w:t>
            </w:r>
            <w:r w:rsidR="003818E3" w:rsidRPr="001B11AB">
              <w:rPr>
                <w:rFonts w:ascii="Times New Roman" w:hAnsi="Times New Roman" w:cs="Times New Roman"/>
                <w:i/>
                <w:sz w:val="20"/>
                <w:szCs w:val="20"/>
                <w:lang w:val="sr-Cyrl-CS"/>
              </w:rPr>
              <w:t xml:space="preserve">овог </w:t>
            </w:r>
            <w:r w:rsidRPr="001B11AB">
              <w:rPr>
                <w:rFonts w:ascii="Times New Roman" w:hAnsi="Times New Roman" w:cs="Times New Roman"/>
                <w:i/>
                <w:sz w:val="20"/>
                <w:szCs w:val="20"/>
                <w:lang w:val="sr-Cyrl-CS"/>
              </w:rPr>
              <w:t>тестирања (потребе за капиталом).]</w:t>
            </w:r>
            <w:r w:rsidR="0059493D" w:rsidRPr="001B11AB">
              <w:rPr>
                <w:rFonts w:ascii="Times New Roman" w:hAnsi="Times New Roman" w:cs="Times New Roman"/>
                <w:sz w:val="16"/>
                <w:szCs w:val="16"/>
                <w:lang w:val="ru-RU"/>
              </w:rPr>
              <w:t xml:space="preserve"> </w:t>
            </w:r>
          </w:p>
        </w:tc>
      </w:tr>
      <w:tr w:rsidR="005C6636" w:rsidRPr="001B11AB" w14:paraId="726BE688" w14:textId="77777777" w:rsidTr="00E92210">
        <w:tc>
          <w:tcPr>
            <w:tcW w:w="9464" w:type="dxa"/>
            <w:shd w:val="clear" w:color="auto" w:fill="F2F2F2" w:themeFill="background1" w:themeFillShade="F2"/>
          </w:tcPr>
          <w:p w14:paraId="4ECD0ACB" w14:textId="44A6A0C5" w:rsidR="00EB131A" w:rsidRPr="001B11AB" w:rsidRDefault="00EB131A" w:rsidP="00897F23">
            <w:pPr>
              <w:spacing w:after="60"/>
              <w:jc w:val="both"/>
              <w:rPr>
                <w:rFonts w:ascii="Times New Roman" w:hAnsi="Times New Roman" w:cs="Times New Roman"/>
                <w:i/>
                <w:sz w:val="20"/>
                <w:szCs w:val="20"/>
                <w:lang w:val="ru-RU"/>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3818E3"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у овом </w:t>
            </w:r>
            <w:r w:rsidR="00F85771" w:rsidRPr="001B11AB">
              <w:rPr>
                <w:rFonts w:ascii="Times New Roman" w:hAnsi="Times New Roman" w:cs="Times New Roman"/>
                <w:i/>
                <w:sz w:val="20"/>
                <w:szCs w:val="20"/>
                <w:lang w:val="ru-RU"/>
              </w:rPr>
              <w:t>дијелу</w:t>
            </w:r>
            <w:r w:rsidRPr="001B11AB">
              <w:rPr>
                <w:rFonts w:ascii="Times New Roman" w:hAnsi="Times New Roman" w:cs="Times New Roman"/>
                <w:i/>
                <w:sz w:val="20"/>
                <w:szCs w:val="20"/>
                <w:lang w:val="ru-RU"/>
              </w:rPr>
              <w:t xml:space="preserve"> наводи пр</w:t>
            </w:r>
            <w:r w:rsidR="00702A82" w:rsidRPr="001B11AB">
              <w:rPr>
                <w:rFonts w:ascii="Times New Roman" w:hAnsi="Times New Roman" w:cs="Times New Roman"/>
                <w:i/>
                <w:sz w:val="20"/>
                <w:szCs w:val="20"/>
                <w:lang w:val="sr-Latn-BA"/>
              </w:rPr>
              <w:t>o</w:t>
            </w:r>
            <w:r w:rsidR="00702A82" w:rsidRPr="001B11AB">
              <w:rPr>
                <w:rFonts w:ascii="Times New Roman" w:hAnsi="Times New Roman" w:cs="Times New Roman"/>
                <w:i/>
                <w:sz w:val="20"/>
                <w:szCs w:val="20"/>
                <w:lang w:val="sr-Cyrl-BA"/>
              </w:rPr>
              <w:t>јекције</w:t>
            </w:r>
            <w:r w:rsidRPr="001B11AB">
              <w:rPr>
                <w:rFonts w:ascii="Times New Roman" w:hAnsi="Times New Roman" w:cs="Times New Roman"/>
                <w:i/>
                <w:sz w:val="20"/>
                <w:szCs w:val="20"/>
                <w:lang w:val="ru-RU"/>
              </w:rPr>
              <w:t xml:space="preserve"> и анализе које примјењује приликом планирања капитала. При</w:t>
            </w:r>
            <w:r w:rsidR="003818E3" w:rsidRPr="001B11AB">
              <w:rPr>
                <w:rFonts w:ascii="Times New Roman" w:hAnsi="Times New Roman" w:cs="Times New Roman"/>
                <w:i/>
                <w:sz w:val="20"/>
                <w:szCs w:val="20"/>
                <w:lang w:val="ru-RU"/>
              </w:rPr>
              <w:t xml:space="preserve"> њиховом</w:t>
            </w:r>
            <w:r w:rsidRPr="001B11AB">
              <w:rPr>
                <w:rFonts w:ascii="Times New Roman" w:hAnsi="Times New Roman" w:cs="Times New Roman"/>
                <w:i/>
                <w:sz w:val="20"/>
                <w:szCs w:val="20"/>
                <w:lang w:val="ru-RU"/>
              </w:rPr>
              <w:t xml:space="preserve"> навођењ</w:t>
            </w:r>
            <w:r w:rsidR="003818E3" w:rsidRPr="001B11AB">
              <w:rPr>
                <w:rFonts w:ascii="Times New Roman" w:hAnsi="Times New Roman" w:cs="Times New Roman"/>
                <w:i/>
                <w:sz w:val="20"/>
                <w:szCs w:val="20"/>
                <w:lang w:val="ru-RU"/>
              </w:rPr>
              <w:t>у</w:t>
            </w:r>
            <w:r w:rsidRPr="001B11AB">
              <w:rPr>
                <w:rFonts w:ascii="Times New Roman" w:hAnsi="Times New Roman" w:cs="Times New Roman"/>
                <w:i/>
                <w:sz w:val="20"/>
                <w:szCs w:val="20"/>
                <w:lang w:val="ru-RU"/>
              </w:rPr>
              <w:t xml:space="preserve"> банка мора узети у обзир стратешке циљеве, планирани раст </w:t>
            </w:r>
            <w:r w:rsidR="003818E3" w:rsidRPr="001B11AB">
              <w:rPr>
                <w:rFonts w:ascii="Times New Roman" w:hAnsi="Times New Roman" w:cs="Times New Roman"/>
                <w:i/>
                <w:sz w:val="20"/>
                <w:szCs w:val="20"/>
                <w:lang w:val="ru-RU"/>
              </w:rPr>
              <w:t>свог пословања</w:t>
            </w:r>
            <w:r w:rsidRPr="001B11AB">
              <w:rPr>
                <w:rFonts w:ascii="Times New Roman" w:hAnsi="Times New Roman" w:cs="Times New Roman"/>
                <w:i/>
                <w:sz w:val="20"/>
                <w:szCs w:val="20"/>
                <w:lang w:val="ru-RU"/>
              </w:rPr>
              <w:t xml:space="preserve">, </w:t>
            </w:r>
            <w:r w:rsidRPr="001B11AB">
              <w:rPr>
                <w:rFonts w:ascii="Times New Roman" w:hAnsi="Times New Roman" w:cs="Times New Roman"/>
                <w:i/>
                <w:sz w:val="20"/>
                <w:szCs w:val="20"/>
                <w:lang w:val="ru-RU"/>
              </w:rPr>
              <w:lastRenderedPageBreak/>
              <w:t xml:space="preserve">политику дивиденди, промјене које се предвиђају у ризичном профилу, резултате ICAAP-а за претходну годину и </w:t>
            </w:r>
            <w:r w:rsidR="006C44CF" w:rsidRPr="001B11AB">
              <w:rPr>
                <w:rFonts w:ascii="Times New Roman" w:hAnsi="Times New Roman" w:cs="Times New Roman"/>
                <w:i/>
                <w:sz w:val="20"/>
                <w:szCs w:val="20"/>
                <w:lang w:val="ru-RU"/>
              </w:rPr>
              <w:t>слично</w:t>
            </w:r>
            <w:r w:rsidRPr="001B11AB">
              <w:rPr>
                <w:rFonts w:ascii="Times New Roman" w:hAnsi="Times New Roman" w:cs="Times New Roman"/>
                <w:i/>
                <w:sz w:val="20"/>
                <w:szCs w:val="20"/>
                <w:lang w:val="ru-RU"/>
              </w:rPr>
              <w:t xml:space="preserve">. При томе банка мора: </w:t>
            </w:r>
          </w:p>
          <w:p w14:paraId="2B23E15E" w14:textId="77777777" w:rsidR="00EB131A" w:rsidRPr="001B11AB" w:rsidRDefault="00282BB7" w:rsidP="003B73A4">
            <w:pPr>
              <w:pStyle w:val="ListParagraph"/>
              <w:numPr>
                <w:ilvl w:val="0"/>
                <w:numId w:val="33"/>
              </w:numPr>
              <w:spacing w:after="60"/>
              <w:ind w:left="357" w:hanging="357"/>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навести </w:t>
            </w:r>
            <w:r w:rsidR="00EB131A" w:rsidRPr="001B11AB">
              <w:rPr>
                <w:rFonts w:ascii="Times New Roman" w:hAnsi="Times New Roman" w:cs="Times New Roman"/>
                <w:i/>
                <w:sz w:val="20"/>
                <w:szCs w:val="20"/>
                <w:lang w:val="ru-RU"/>
              </w:rPr>
              <w:t xml:space="preserve">период планирања капитала, који не смије бити краћи од три године, </w:t>
            </w:r>
          </w:p>
          <w:p w14:paraId="1A89A1E7" w14:textId="77777777" w:rsidR="00282BB7" w:rsidRPr="001B11AB" w:rsidRDefault="00EB131A" w:rsidP="003B73A4">
            <w:pPr>
              <w:pStyle w:val="ListParagraph"/>
              <w:numPr>
                <w:ilvl w:val="0"/>
                <w:numId w:val="33"/>
              </w:numPr>
              <w:spacing w:after="60"/>
              <w:ind w:left="357" w:hanging="357"/>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анализирати разлике између планираног циљаног капитала банке у извјештајном периоду за који се овај извјештај сачињава у односу на остварени капитал банке у претходном извјештајном периоду, као и разлике између планираног нивоа и структуре регулаторног капитала, те расположивог капитала за покриће интерних капиталних захтјева у складу са резултатима ICAAP-а,</w:t>
            </w:r>
          </w:p>
          <w:p w14:paraId="2D14CAB9" w14:textId="77777777" w:rsidR="00EB131A" w:rsidRPr="001B11AB" w:rsidRDefault="00EB131A" w:rsidP="00897F23">
            <w:pPr>
              <w:pStyle w:val="ListParagraph"/>
              <w:numPr>
                <w:ilvl w:val="0"/>
                <w:numId w:val="33"/>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објаснити методологију планирања капитала у банци, као и методологију тестирања отпорности на стрес, укључујући опис коришћених сценарија и резултата проведених тестирања,</w:t>
            </w:r>
          </w:p>
          <w:p w14:paraId="11B1F0B4" w14:textId="77777777" w:rsidR="00EB131A" w:rsidRPr="001B11AB" w:rsidRDefault="00EB131A" w:rsidP="00897F23">
            <w:pPr>
              <w:pStyle w:val="ListParagraph"/>
              <w:numPr>
                <w:ilvl w:val="0"/>
                <w:numId w:val="33"/>
              </w:numPr>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навести кључне одреднице планова капитала и друге елементе који су специфични за планирање капитала те банке, укључујући и навођење извора за повећање капитала.</w:t>
            </w:r>
            <w:r w:rsidR="00D51513" w:rsidRPr="001B11AB">
              <w:rPr>
                <w:rFonts w:ascii="Times New Roman" w:hAnsi="Times New Roman" w:cs="Times New Roman"/>
                <w:i/>
                <w:sz w:val="20"/>
                <w:szCs w:val="20"/>
                <w:lang w:val="ru-RU"/>
              </w:rPr>
              <w:t xml:space="preserve"> </w:t>
            </w:r>
          </w:p>
        </w:tc>
      </w:tr>
    </w:tbl>
    <w:p w14:paraId="3077D1A3" w14:textId="13E75E64" w:rsidR="00E740BB" w:rsidRPr="001B11AB" w:rsidRDefault="00E740BB" w:rsidP="00897F23">
      <w:pPr>
        <w:spacing w:after="0" w:line="240" w:lineRule="auto"/>
        <w:jc w:val="both"/>
        <w:rPr>
          <w:rFonts w:ascii="Times New Roman" w:hAnsi="Times New Roman" w:cs="Times New Roman"/>
          <w:b/>
          <w:lang w:val="ru-RU"/>
        </w:rPr>
      </w:pPr>
    </w:p>
    <w:p w14:paraId="2E1CE1A5" w14:textId="77777777" w:rsidR="00B37CA4" w:rsidRPr="001B11AB" w:rsidRDefault="00B37CA4" w:rsidP="00897F23">
      <w:pPr>
        <w:spacing w:after="0" w:line="240" w:lineRule="auto"/>
        <w:jc w:val="both"/>
        <w:rPr>
          <w:rFonts w:ascii="Times New Roman" w:hAnsi="Times New Roman" w:cs="Times New Roman"/>
          <w:b/>
          <w:lang w:val="ru-RU"/>
        </w:rPr>
      </w:pPr>
    </w:p>
    <w:p w14:paraId="7FB23925" w14:textId="77777777" w:rsidR="00E740BB" w:rsidRPr="001B11AB" w:rsidRDefault="00E740BB" w:rsidP="003B73A4">
      <w:pPr>
        <w:pStyle w:val="Heading2"/>
        <w:numPr>
          <w:ilvl w:val="0"/>
          <w:numId w:val="25"/>
        </w:numPr>
        <w:spacing w:before="0" w:after="120" w:line="240" w:lineRule="auto"/>
        <w:ind w:left="714" w:hanging="357"/>
        <w:rPr>
          <w:rFonts w:ascii="Times New Roman" w:hAnsi="Times New Roman" w:cs="Times New Roman"/>
          <w:color w:val="auto"/>
          <w:sz w:val="22"/>
          <w:szCs w:val="22"/>
        </w:rPr>
      </w:pPr>
      <w:r w:rsidRPr="001B11AB">
        <w:rPr>
          <w:rFonts w:ascii="Times New Roman" w:hAnsi="Times New Roman" w:cs="Times New Roman"/>
          <w:color w:val="auto"/>
          <w:sz w:val="22"/>
          <w:szCs w:val="22"/>
        </w:rPr>
        <w:t>УТВРЂИВАЊЕ ЗНАЧАЈНИХ РИЗИКА</w:t>
      </w:r>
    </w:p>
    <w:tbl>
      <w:tblPr>
        <w:tblStyle w:val="TableGrid"/>
        <w:tblW w:w="9464" w:type="dxa"/>
        <w:tblLook w:val="04A0" w:firstRow="1" w:lastRow="0" w:firstColumn="1" w:lastColumn="0" w:noHBand="0" w:noVBand="1"/>
      </w:tblPr>
      <w:tblGrid>
        <w:gridCol w:w="9464"/>
      </w:tblGrid>
      <w:tr w:rsidR="005C6636" w:rsidRPr="001B11AB" w14:paraId="1053E296" w14:textId="77777777" w:rsidTr="001824A7">
        <w:tc>
          <w:tcPr>
            <w:tcW w:w="9464" w:type="dxa"/>
            <w:tcBorders>
              <w:bottom w:val="single" w:sz="4" w:space="0" w:color="auto"/>
            </w:tcBorders>
            <w:shd w:val="clear" w:color="auto" w:fill="D9D9D9" w:themeFill="background1" w:themeFillShade="D9"/>
          </w:tcPr>
          <w:p w14:paraId="734745F6" w14:textId="7CCA0067" w:rsidR="00E740BB" w:rsidRPr="001B11AB" w:rsidRDefault="00E740BB" w:rsidP="003541F5">
            <w:pPr>
              <w:pStyle w:val="ListParagraph"/>
              <w:numPr>
                <w:ilvl w:val="1"/>
                <w:numId w:val="25"/>
              </w:numPr>
              <w:spacing w:after="60"/>
              <w:ind w:left="426"/>
              <w:contextualSpacing w:val="0"/>
              <w:rPr>
                <w:rFonts w:ascii="Times New Roman" w:hAnsi="Times New Roman" w:cs="Times New Roman"/>
                <w:b/>
                <w:sz w:val="20"/>
                <w:szCs w:val="20"/>
                <w:lang w:val="ru-RU"/>
              </w:rPr>
            </w:pPr>
            <w:r w:rsidRPr="001B11AB">
              <w:rPr>
                <w:rFonts w:ascii="Times New Roman" w:hAnsi="Times New Roman" w:cs="Times New Roman"/>
                <w:b/>
                <w:sz w:val="20"/>
                <w:szCs w:val="20"/>
                <w:lang w:val="ru-RU"/>
              </w:rPr>
              <w:t>Ризици кој</w:t>
            </w:r>
            <w:r w:rsidR="003541F5" w:rsidRPr="001B11AB">
              <w:rPr>
                <w:rFonts w:ascii="Times New Roman" w:hAnsi="Times New Roman" w:cs="Times New Roman"/>
                <w:b/>
                <w:sz w:val="20"/>
                <w:szCs w:val="20"/>
                <w:lang w:val="ru-RU"/>
              </w:rPr>
              <w:t>им</w:t>
            </w:r>
            <w:r w:rsidRPr="001B11AB">
              <w:rPr>
                <w:rFonts w:ascii="Times New Roman" w:hAnsi="Times New Roman" w:cs="Times New Roman"/>
                <w:b/>
                <w:sz w:val="20"/>
                <w:szCs w:val="20"/>
                <w:lang w:val="ru-RU"/>
              </w:rPr>
              <w:t>а</w:t>
            </w:r>
            <w:r w:rsidR="003541F5" w:rsidRPr="001B11AB">
              <w:rPr>
                <w:rFonts w:ascii="Times New Roman" w:hAnsi="Times New Roman" w:cs="Times New Roman"/>
                <w:b/>
                <w:sz w:val="20"/>
                <w:szCs w:val="20"/>
                <w:lang w:val="ru-RU"/>
              </w:rPr>
              <w:t xml:space="preserve"> је</w:t>
            </w:r>
            <w:r w:rsidRPr="001B11AB">
              <w:rPr>
                <w:rFonts w:ascii="Times New Roman" w:hAnsi="Times New Roman" w:cs="Times New Roman"/>
                <w:b/>
                <w:sz w:val="20"/>
                <w:szCs w:val="20"/>
                <w:lang w:val="ru-RU"/>
              </w:rPr>
              <w:t xml:space="preserve"> </w:t>
            </w:r>
            <w:r w:rsidR="003541F5" w:rsidRPr="001B11AB">
              <w:rPr>
                <w:rFonts w:ascii="Times New Roman" w:hAnsi="Times New Roman" w:cs="Times New Roman"/>
                <w:b/>
                <w:sz w:val="20"/>
                <w:szCs w:val="20"/>
                <w:lang w:val="ru-RU"/>
              </w:rPr>
              <w:t>банка</w:t>
            </w:r>
            <w:r w:rsidRPr="001B11AB">
              <w:rPr>
                <w:rFonts w:ascii="Times New Roman" w:hAnsi="Times New Roman" w:cs="Times New Roman"/>
                <w:b/>
                <w:sz w:val="20"/>
                <w:szCs w:val="20"/>
                <w:lang w:val="ru-RU"/>
              </w:rPr>
              <w:t xml:space="preserve"> изложена или би могла бити изложена </w:t>
            </w:r>
          </w:p>
        </w:tc>
      </w:tr>
      <w:tr w:rsidR="005C6636" w:rsidRPr="001B11AB" w14:paraId="0BCB58E0" w14:textId="77777777" w:rsidTr="006F4726">
        <w:tc>
          <w:tcPr>
            <w:tcW w:w="9464" w:type="dxa"/>
            <w:shd w:val="clear" w:color="auto" w:fill="auto"/>
          </w:tcPr>
          <w:p w14:paraId="7D283D79" w14:textId="36058DF0" w:rsidR="00E740BB" w:rsidRPr="001B11AB" w:rsidRDefault="00E740BB" w:rsidP="003541F5">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описује начин и динамику идентификовања</w:t>
            </w:r>
            <w:r w:rsidR="00AE5475" w:rsidRPr="001B11AB">
              <w:rPr>
                <w:rFonts w:ascii="Times New Roman" w:hAnsi="Times New Roman" w:cs="Times New Roman"/>
                <w:i/>
                <w:sz w:val="20"/>
                <w:szCs w:val="20"/>
                <w:lang w:val="sr-Cyrl-CS"/>
              </w:rPr>
              <w:t xml:space="preserve">, </w:t>
            </w:r>
            <w:r w:rsidR="003541F5" w:rsidRPr="001B11AB">
              <w:rPr>
                <w:rFonts w:ascii="Times New Roman" w:hAnsi="Times New Roman" w:cs="Times New Roman"/>
                <w:i/>
                <w:sz w:val="20"/>
                <w:szCs w:val="20"/>
                <w:lang w:val="sr-Cyrl-CS"/>
              </w:rPr>
              <w:t>тј.</w:t>
            </w:r>
            <w:r w:rsidR="00AE5475" w:rsidRPr="001B11AB">
              <w:rPr>
                <w:rFonts w:ascii="Times New Roman" w:hAnsi="Times New Roman" w:cs="Times New Roman"/>
                <w:i/>
                <w:sz w:val="20"/>
                <w:szCs w:val="20"/>
                <w:lang w:val="sr-Cyrl-CS"/>
              </w:rPr>
              <w:t xml:space="preserve"> утврђивања</w:t>
            </w:r>
            <w:r w:rsidRPr="001B11AB">
              <w:rPr>
                <w:rFonts w:ascii="Times New Roman" w:hAnsi="Times New Roman" w:cs="Times New Roman"/>
                <w:i/>
                <w:sz w:val="20"/>
                <w:szCs w:val="20"/>
                <w:lang w:val="sr-Cyrl-CS"/>
              </w:rPr>
              <w:t xml:space="preserve"> ризика, те наводи и образлаже факторе које је узела у обзир приликом тог поступка.]</w:t>
            </w:r>
            <w:r w:rsidR="0059493D" w:rsidRPr="001B11AB">
              <w:rPr>
                <w:rFonts w:ascii="Times New Roman" w:hAnsi="Times New Roman" w:cs="Times New Roman"/>
                <w:sz w:val="16"/>
                <w:szCs w:val="16"/>
                <w:lang w:val="ru-RU"/>
              </w:rPr>
              <w:t xml:space="preserve"> </w:t>
            </w:r>
          </w:p>
        </w:tc>
      </w:tr>
      <w:tr w:rsidR="005C6636" w:rsidRPr="001B11AB" w14:paraId="63E246CC" w14:textId="77777777" w:rsidTr="006F4726">
        <w:tc>
          <w:tcPr>
            <w:tcW w:w="9464" w:type="dxa"/>
            <w:shd w:val="clear" w:color="auto" w:fill="auto"/>
          </w:tcPr>
          <w:p w14:paraId="131D3E0D" w14:textId="74AF9F13" w:rsidR="00E740BB" w:rsidRPr="001B11AB" w:rsidRDefault="00E740BB" w:rsidP="006E6B98">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w:t>
            </w:r>
            <w:r w:rsidR="00AE5475" w:rsidRPr="001B11AB">
              <w:rPr>
                <w:rFonts w:ascii="Times New Roman" w:hAnsi="Times New Roman" w:cs="Times New Roman"/>
                <w:i/>
                <w:sz w:val="20"/>
                <w:szCs w:val="20"/>
                <w:lang w:val="sr-Cyrl-CS"/>
              </w:rPr>
              <w:t xml:space="preserve">дефиниције </w:t>
            </w:r>
            <w:r w:rsidRPr="001B11AB">
              <w:rPr>
                <w:rFonts w:ascii="Times New Roman" w:hAnsi="Times New Roman" w:cs="Times New Roman"/>
                <w:i/>
                <w:sz w:val="20"/>
                <w:szCs w:val="20"/>
                <w:lang w:val="sr-Cyrl-CS"/>
              </w:rPr>
              <w:t>ризик</w:t>
            </w:r>
            <w:r w:rsidR="00AE5475" w:rsidRPr="001B11AB">
              <w:rPr>
                <w:rFonts w:ascii="Times New Roman" w:hAnsi="Times New Roman" w:cs="Times New Roman"/>
                <w:i/>
                <w:sz w:val="20"/>
                <w:szCs w:val="20"/>
                <w:lang w:val="sr-Cyrl-CS"/>
              </w:rPr>
              <w:t>а</w:t>
            </w:r>
            <w:r w:rsidR="003541F5" w:rsidRPr="001B11AB">
              <w:rPr>
                <w:rFonts w:ascii="Times New Roman" w:hAnsi="Times New Roman" w:cs="Times New Roman"/>
                <w:i/>
                <w:sz w:val="20"/>
                <w:szCs w:val="20"/>
                <w:lang w:val="sr-Cyrl-CS"/>
              </w:rPr>
              <w:t xml:space="preserve"> којима је изложена</w:t>
            </w:r>
            <w:r w:rsidRPr="001B11AB">
              <w:rPr>
                <w:rFonts w:ascii="Times New Roman" w:hAnsi="Times New Roman" w:cs="Times New Roman"/>
                <w:i/>
                <w:sz w:val="20"/>
                <w:szCs w:val="20"/>
                <w:lang w:val="sr-Cyrl-CS"/>
              </w:rPr>
              <w:t xml:space="preserve"> те наводи укључује ли дефиниција одређеног ризик</w:t>
            </w:r>
            <w:r w:rsidR="003541F5" w:rsidRPr="001B11AB">
              <w:rPr>
                <w:rFonts w:ascii="Times New Roman" w:hAnsi="Times New Roman" w:cs="Times New Roman"/>
                <w:i/>
                <w:sz w:val="20"/>
                <w:szCs w:val="20"/>
                <w:lang w:val="sr-Cyrl-CS"/>
              </w:rPr>
              <w:t xml:space="preserve">а и одређене подскупове ризика </w:t>
            </w:r>
            <w:r w:rsidR="006E6B98" w:rsidRPr="001B11AB">
              <w:rPr>
                <w:rFonts w:ascii="Times New Roman" w:hAnsi="Times New Roman" w:cs="Times New Roman"/>
                <w:i/>
                <w:sz w:val="20"/>
                <w:szCs w:val="20"/>
                <w:lang w:val="sr-Cyrl-CS"/>
              </w:rPr>
              <w:t>(</w:t>
            </w:r>
            <w:r w:rsidR="003541F5" w:rsidRPr="001B11AB">
              <w:rPr>
                <w:rFonts w:ascii="Times New Roman" w:hAnsi="Times New Roman" w:cs="Times New Roman"/>
                <w:i/>
                <w:sz w:val="20"/>
                <w:szCs w:val="20"/>
                <w:lang w:val="sr-Cyrl-CS"/>
              </w:rPr>
              <w:t>Табела 1</w:t>
            </w:r>
            <w:r w:rsidR="006E6B98"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ru-RU"/>
              </w:rPr>
              <w:t>]</w:t>
            </w:r>
          </w:p>
        </w:tc>
      </w:tr>
      <w:tr w:rsidR="005C6636" w:rsidRPr="001B11AB" w14:paraId="21BCBF1B" w14:textId="77777777" w:rsidTr="006F4726">
        <w:tc>
          <w:tcPr>
            <w:tcW w:w="9464" w:type="dxa"/>
            <w:shd w:val="clear" w:color="auto" w:fill="auto"/>
          </w:tcPr>
          <w:p w14:paraId="7AC2E449" w14:textId="13F4B6C5" w:rsidR="00E740BB" w:rsidRPr="001B11AB" w:rsidRDefault="00E740BB" w:rsidP="003541F5">
            <w:pPr>
              <w:widowControl w:val="0"/>
              <w:overflowPunct w:val="0"/>
              <w:autoSpaceDE w:val="0"/>
              <w:autoSpaceDN w:val="0"/>
              <w:adjustRightInd w:val="0"/>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интерне акте у којима је дефинисала ризике</w:t>
            </w:r>
            <w:r w:rsidR="003541F5" w:rsidRPr="001B11AB">
              <w:rPr>
                <w:rFonts w:ascii="Times New Roman" w:hAnsi="Times New Roman" w:cs="Times New Roman"/>
                <w:i/>
                <w:sz w:val="20"/>
                <w:szCs w:val="20"/>
                <w:lang w:val="sr-Cyrl-CS"/>
              </w:rPr>
              <w:t>, као и</w:t>
            </w:r>
            <w:r w:rsidRPr="001B11AB">
              <w:rPr>
                <w:rFonts w:ascii="Times New Roman" w:hAnsi="Times New Roman" w:cs="Times New Roman"/>
                <w:i/>
                <w:sz w:val="20"/>
                <w:szCs w:val="20"/>
                <w:lang w:val="sr-Cyrl-CS"/>
              </w:rPr>
              <w:t xml:space="preserve"> поступке за </w:t>
            </w:r>
            <w:r w:rsidR="00AE5475" w:rsidRPr="001B11AB">
              <w:rPr>
                <w:rFonts w:ascii="Times New Roman" w:hAnsi="Times New Roman" w:cs="Times New Roman"/>
                <w:i/>
                <w:sz w:val="20"/>
                <w:szCs w:val="20"/>
                <w:lang w:val="sr-Cyrl-CS"/>
              </w:rPr>
              <w:t xml:space="preserve">утврђивање значајних </w:t>
            </w:r>
            <w:r w:rsidRPr="001B11AB">
              <w:rPr>
                <w:rFonts w:ascii="Times New Roman" w:hAnsi="Times New Roman" w:cs="Times New Roman"/>
                <w:i/>
                <w:sz w:val="20"/>
                <w:szCs w:val="20"/>
                <w:lang w:val="sr-Cyrl-CS"/>
              </w:rPr>
              <w:t>ризика којима је изложена или би могла бити изложена</w:t>
            </w:r>
            <w:r w:rsidRPr="001B11AB">
              <w:rPr>
                <w:rFonts w:ascii="Times New Roman" w:hAnsi="Times New Roman" w:cs="Times New Roman"/>
                <w:sz w:val="20"/>
                <w:szCs w:val="20"/>
                <w:lang w:val="ru-RU"/>
              </w:rPr>
              <w:t>.</w:t>
            </w:r>
            <w:r w:rsidRPr="001B11AB">
              <w:rPr>
                <w:rFonts w:ascii="Times New Roman" w:hAnsi="Times New Roman" w:cs="Times New Roman"/>
                <w:i/>
                <w:sz w:val="20"/>
                <w:szCs w:val="20"/>
                <w:lang w:val="ru-RU"/>
              </w:rPr>
              <w:t>]</w:t>
            </w:r>
          </w:p>
        </w:tc>
      </w:tr>
    </w:tbl>
    <w:p w14:paraId="60FC2894" w14:textId="77777777" w:rsidR="00AE5475" w:rsidRPr="001B11AB" w:rsidRDefault="00AE5475" w:rsidP="00897F23">
      <w:pPr>
        <w:spacing w:after="0" w:line="240" w:lineRule="auto"/>
        <w:rPr>
          <w:rFonts w:ascii="Times New Roman" w:hAnsi="Times New Roman" w:cs="Times New Roman"/>
          <w:lang w:val="sr-Cyrl-BA"/>
        </w:rPr>
      </w:pPr>
    </w:p>
    <w:p w14:paraId="44AD9154" w14:textId="77777777" w:rsidR="00E740BB" w:rsidRPr="001B11AB" w:rsidRDefault="00E740BB" w:rsidP="00897F23">
      <w:pPr>
        <w:pStyle w:val="Heading3"/>
        <w:spacing w:before="0" w:line="240" w:lineRule="auto"/>
        <w:rPr>
          <w:rFonts w:ascii="Times New Roman" w:hAnsi="Times New Roman" w:cs="Times New Roman"/>
          <w:color w:val="auto"/>
          <w:sz w:val="20"/>
          <w:szCs w:val="20"/>
          <w:lang w:val="ru-RU"/>
        </w:rPr>
      </w:pPr>
      <w:r w:rsidRPr="001B11AB">
        <w:rPr>
          <w:rFonts w:ascii="Times New Roman" w:hAnsi="Times New Roman" w:cs="Times New Roman"/>
          <w:color w:val="auto"/>
          <w:sz w:val="20"/>
          <w:szCs w:val="20"/>
          <w:lang w:val="ru-RU"/>
        </w:rPr>
        <w:t>Табела</w:t>
      </w:r>
      <w:r w:rsidRPr="001B11AB">
        <w:rPr>
          <w:rFonts w:ascii="Times New Roman" w:hAnsi="Times New Roman" w:cs="Times New Roman"/>
          <w:color w:val="auto"/>
          <w:sz w:val="20"/>
          <w:szCs w:val="20"/>
          <w:lang w:val="hr-HR"/>
        </w:rPr>
        <w:t xml:space="preserve"> 1. </w:t>
      </w:r>
      <w:r w:rsidRPr="001B11AB">
        <w:rPr>
          <w:rFonts w:ascii="Times New Roman" w:hAnsi="Times New Roman" w:cs="Times New Roman"/>
          <w:color w:val="auto"/>
          <w:sz w:val="20"/>
          <w:szCs w:val="20"/>
          <w:lang w:val="ru-RU"/>
        </w:rPr>
        <w:t>Списак ризика којима је банка изложена или би могла бити изложена</w:t>
      </w:r>
    </w:p>
    <w:p w14:paraId="51AD1C01" w14:textId="77777777" w:rsidR="00E740BB" w:rsidRPr="001B11AB" w:rsidRDefault="00E740BB" w:rsidP="00897F23">
      <w:pPr>
        <w:spacing w:after="0" w:line="240" w:lineRule="auto"/>
        <w:rPr>
          <w:rFonts w:ascii="Times New Roman" w:hAnsi="Times New Roman" w:cs="Times New Roman"/>
          <w:lang w:val="hr-HR"/>
        </w:rPr>
      </w:pPr>
    </w:p>
    <w:tbl>
      <w:tblPr>
        <w:tblStyle w:val="TableGrid"/>
        <w:tblW w:w="9390" w:type="dxa"/>
        <w:tblLayout w:type="fixed"/>
        <w:tblLook w:val="04A0" w:firstRow="1" w:lastRow="0" w:firstColumn="1" w:lastColumn="0" w:noHBand="0" w:noVBand="1"/>
      </w:tblPr>
      <w:tblGrid>
        <w:gridCol w:w="2046"/>
        <w:gridCol w:w="7344"/>
      </w:tblGrid>
      <w:tr w:rsidR="005C6636" w:rsidRPr="001B11AB" w14:paraId="682142CD" w14:textId="77777777" w:rsidTr="00F85771">
        <w:tc>
          <w:tcPr>
            <w:tcW w:w="2046" w:type="dxa"/>
            <w:shd w:val="clear" w:color="auto" w:fill="F2F2F2" w:themeFill="background1" w:themeFillShade="F2"/>
            <w:vAlign w:val="center"/>
          </w:tcPr>
          <w:p w14:paraId="7918400E" w14:textId="77777777" w:rsidR="00E740BB" w:rsidRPr="001B11AB" w:rsidRDefault="00E740BB"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Ризик</w:t>
            </w:r>
          </w:p>
        </w:tc>
        <w:tc>
          <w:tcPr>
            <w:tcW w:w="7344" w:type="dxa"/>
            <w:shd w:val="clear" w:color="auto" w:fill="F2F2F2" w:themeFill="background1" w:themeFillShade="F2"/>
            <w:vAlign w:val="center"/>
          </w:tcPr>
          <w:p w14:paraId="325E564B" w14:textId="77777777" w:rsidR="00E740BB" w:rsidRPr="001B11AB" w:rsidRDefault="00E740BB" w:rsidP="00897F23">
            <w:pPr>
              <w:ind w:left="-142" w:firstLine="142"/>
              <w:jc w:val="center"/>
              <w:rPr>
                <w:rFonts w:ascii="Times New Roman" w:hAnsi="Times New Roman" w:cs="Times New Roman"/>
                <w:b/>
                <w:sz w:val="20"/>
                <w:szCs w:val="20"/>
              </w:rPr>
            </w:pPr>
            <w:r w:rsidRPr="001B11AB">
              <w:rPr>
                <w:rFonts w:ascii="Times New Roman" w:hAnsi="Times New Roman" w:cs="Times New Roman"/>
                <w:b/>
                <w:sz w:val="20"/>
                <w:szCs w:val="20"/>
              </w:rPr>
              <w:t>Дефиниција ризика</w:t>
            </w:r>
          </w:p>
        </w:tc>
      </w:tr>
      <w:tr w:rsidR="005C6636" w:rsidRPr="001B11AB" w14:paraId="6DB2A38D" w14:textId="77777777" w:rsidTr="00F85771">
        <w:tc>
          <w:tcPr>
            <w:tcW w:w="2046" w:type="dxa"/>
          </w:tcPr>
          <w:p w14:paraId="5F0C9E38" w14:textId="77777777" w:rsidR="00E740BB" w:rsidRPr="001B11AB" w:rsidRDefault="00E740BB" w:rsidP="00897F23">
            <w:pPr>
              <w:rPr>
                <w:rFonts w:ascii="Times New Roman" w:hAnsi="Times New Roman" w:cs="Times New Roman"/>
                <w:b/>
                <w:sz w:val="16"/>
                <w:szCs w:val="16"/>
                <w:lang w:val="hr-HR"/>
              </w:rPr>
            </w:pPr>
            <w:r w:rsidRPr="001B11AB">
              <w:rPr>
                <w:rFonts w:ascii="Times New Roman" w:hAnsi="Times New Roman" w:cs="Times New Roman"/>
                <w:b/>
                <w:sz w:val="16"/>
                <w:szCs w:val="16"/>
                <w:lang w:val="hr-HR"/>
              </w:rPr>
              <w:t>…</w:t>
            </w:r>
          </w:p>
        </w:tc>
        <w:tc>
          <w:tcPr>
            <w:tcW w:w="7344" w:type="dxa"/>
          </w:tcPr>
          <w:p w14:paraId="021EABD4" w14:textId="77777777" w:rsidR="00E740BB" w:rsidRPr="001B11AB" w:rsidRDefault="00E740BB" w:rsidP="00897F23">
            <w:pPr>
              <w:ind w:left="-399" w:firstLine="142"/>
              <w:rPr>
                <w:rFonts w:ascii="Times New Roman" w:hAnsi="Times New Roman" w:cs="Times New Roman"/>
                <w:sz w:val="16"/>
                <w:szCs w:val="16"/>
                <w:lang w:val="hr-HR"/>
              </w:rPr>
            </w:pPr>
          </w:p>
        </w:tc>
      </w:tr>
      <w:tr w:rsidR="005C6636" w:rsidRPr="001B11AB" w14:paraId="5C4F8A14" w14:textId="77777777" w:rsidTr="00F85771">
        <w:tc>
          <w:tcPr>
            <w:tcW w:w="2046" w:type="dxa"/>
          </w:tcPr>
          <w:p w14:paraId="7939599F" w14:textId="77777777" w:rsidR="00E740BB" w:rsidRPr="001B11AB" w:rsidRDefault="00E740BB" w:rsidP="00897F23">
            <w:pPr>
              <w:rPr>
                <w:rFonts w:ascii="Times New Roman" w:hAnsi="Times New Roman" w:cs="Times New Roman"/>
                <w:b/>
                <w:sz w:val="16"/>
                <w:szCs w:val="16"/>
                <w:lang w:val="hr-HR"/>
              </w:rPr>
            </w:pPr>
          </w:p>
        </w:tc>
        <w:tc>
          <w:tcPr>
            <w:tcW w:w="7344" w:type="dxa"/>
          </w:tcPr>
          <w:p w14:paraId="28303434" w14:textId="77777777" w:rsidR="00E740BB" w:rsidRPr="001B11AB" w:rsidRDefault="00E740BB" w:rsidP="00897F23">
            <w:pPr>
              <w:ind w:left="-399" w:firstLine="142"/>
              <w:rPr>
                <w:rFonts w:ascii="Times New Roman" w:hAnsi="Times New Roman" w:cs="Times New Roman"/>
                <w:sz w:val="16"/>
                <w:szCs w:val="16"/>
                <w:lang w:val="hr-HR"/>
              </w:rPr>
            </w:pPr>
          </w:p>
        </w:tc>
      </w:tr>
      <w:tr w:rsidR="005C6636" w:rsidRPr="001B11AB" w14:paraId="780BA2F9" w14:textId="77777777" w:rsidTr="00F85771">
        <w:tc>
          <w:tcPr>
            <w:tcW w:w="2046" w:type="dxa"/>
          </w:tcPr>
          <w:p w14:paraId="7270FD46" w14:textId="77777777" w:rsidR="00E740BB" w:rsidRPr="001B11AB" w:rsidRDefault="00E740BB" w:rsidP="00897F23">
            <w:pPr>
              <w:rPr>
                <w:rFonts w:ascii="Times New Roman" w:hAnsi="Times New Roman" w:cs="Times New Roman"/>
                <w:b/>
                <w:sz w:val="16"/>
                <w:szCs w:val="16"/>
                <w:lang w:val="hr-HR"/>
              </w:rPr>
            </w:pPr>
          </w:p>
        </w:tc>
        <w:tc>
          <w:tcPr>
            <w:tcW w:w="7344" w:type="dxa"/>
          </w:tcPr>
          <w:p w14:paraId="73B168BA" w14:textId="77777777" w:rsidR="00E740BB" w:rsidRPr="001B11AB" w:rsidRDefault="00E740BB" w:rsidP="00897F23">
            <w:pPr>
              <w:ind w:left="-399" w:firstLine="142"/>
              <w:rPr>
                <w:rFonts w:ascii="Times New Roman" w:hAnsi="Times New Roman" w:cs="Times New Roman"/>
                <w:sz w:val="16"/>
                <w:szCs w:val="16"/>
                <w:lang w:val="hr-HR"/>
              </w:rPr>
            </w:pPr>
          </w:p>
        </w:tc>
      </w:tr>
      <w:tr w:rsidR="00E740BB" w:rsidRPr="001B11AB" w14:paraId="74E16F53" w14:textId="77777777" w:rsidTr="00F85771">
        <w:tc>
          <w:tcPr>
            <w:tcW w:w="2046" w:type="dxa"/>
          </w:tcPr>
          <w:p w14:paraId="717830F3" w14:textId="77777777" w:rsidR="00E740BB" w:rsidRPr="001B11AB" w:rsidRDefault="00E740BB" w:rsidP="00897F23">
            <w:pPr>
              <w:rPr>
                <w:rFonts w:ascii="Times New Roman" w:hAnsi="Times New Roman" w:cs="Times New Roman"/>
                <w:b/>
                <w:sz w:val="16"/>
                <w:szCs w:val="16"/>
                <w:lang w:val="hr-HR"/>
              </w:rPr>
            </w:pPr>
          </w:p>
        </w:tc>
        <w:tc>
          <w:tcPr>
            <w:tcW w:w="7344" w:type="dxa"/>
          </w:tcPr>
          <w:p w14:paraId="2AFADC48" w14:textId="77777777" w:rsidR="00E740BB" w:rsidRPr="001B11AB" w:rsidRDefault="00E740BB" w:rsidP="00897F23">
            <w:pPr>
              <w:ind w:left="-399" w:firstLine="142"/>
              <w:rPr>
                <w:rFonts w:ascii="Times New Roman" w:hAnsi="Times New Roman" w:cs="Times New Roman"/>
                <w:sz w:val="16"/>
                <w:szCs w:val="16"/>
                <w:lang w:val="hr-HR"/>
              </w:rPr>
            </w:pPr>
          </w:p>
        </w:tc>
      </w:tr>
    </w:tbl>
    <w:p w14:paraId="0778B3B3" w14:textId="77777777" w:rsidR="006773EB" w:rsidRPr="001B11AB" w:rsidRDefault="006773EB" w:rsidP="00897F23">
      <w:pPr>
        <w:spacing w:after="0" w:line="240" w:lineRule="auto"/>
        <w:rPr>
          <w:rFonts w:ascii="Times New Roman" w:hAnsi="Times New Roman" w:cs="Times New Roman"/>
          <w:lang w:val="sr-Latn-BA"/>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5C6636" w:rsidRPr="001B11AB" w14:paraId="1E849C59" w14:textId="77777777" w:rsidTr="00E92210">
        <w:tc>
          <w:tcPr>
            <w:tcW w:w="9464" w:type="dxa"/>
            <w:shd w:val="clear" w:color="auto" w:fill="F2F2F2" w:themeFill="background1" w:themeFillShade="F2"/>
          </w:tcPr>
          <w:p w14:paraId="3C9286E9" w14:textId="61C31AD1" w:rsidR="00133CE0" w:rsidRPr="001B11AB" w:rsidRDefault="00FA2803" w:rsidP="00897F23">
            <w:pPr>
              <w:widowControl w:val="0"/>
              <w:overflowPunct w:val="0"/>
              <w:autoSpaceDE w:val="0"/>
              <w:autoSpaceDN w:val="0"/>
              <w:adjustRightInd w:val="0"/>
              <w:spacing w:after="60"/>
              <w:jc w:val="both"/>
              <w:rPr>
                <w:rFonts w:ascii="Times New Roman" w:hAnsi="Times New Roman" w:cs="Times New Roman"/>
                <w:b/>
                <w:i/>
                <w:sz w:val="20"/>
                <w:szCs w:val="20"/>
                <w:lang w:val="sr-Latn-BA"/>
              </w:rPr>
            </w:pPr>
            <w:r w:rsidRPr="001B11AB">
              <w:rPr>
                <w:rFonts w:ascii="Times New Roman" w:hAnsi="Times New Roman" w:cs="Times New Roman"/>
                <w:b/>
                <w:i/>
                <w:sz w:val="20"/>
                <w:szCs w:val="20"/>
                <w:lang w:val="ru-RU"/>
              </w:rPr>
              <w:t>Напомена:</w:t>
            </w:r>
            <w:r w:rsidR="006773EB" w:rsidRPr="001B11AB">
              <w:rPr>
                <w:rFonts w:ascii="Times New Roman" w:hAnsi="Times New Roman" w:cs="Times New Roman"/>
                <w:b/>
                <w:i/>
                <w:sz w:val="20"/>
                <w:szCs w:val="20"/>
                <w:lang w:val="ru-RU"/>
              </w:rPr>
              <w:t xml:space="preserve"> </w:t>
            </w:r>
            <w:r w:rsidR="003541F5" w:rsidRPr="001B11AB">
              <w:rPr>
                <w:rFonts w:ascii="Times New Roman" w:hAnsi="Times New Roman" w:cs="Times New Roman"/>
                <w:i/>
                <w:sz w:val="20"/>
                <w:szCs w:val="20"/>
                <w:lang w:val="ru-RU"/>
              </w:rPr>
              <w:t>У</w:t>
            </w:r>
            <w:r w:rsidR="00766A8C" w:rsidRPr="001B11AB">
              <w:rPr>
                <w:rFonts w:ascii="Times New Roman" w:hAnsi="Times New Roman" w:cs="Times New Roman"/>
                <w:i/>
                <w:sz w:val="20"/>
                <w:szCs w:val="20"/>
                <w:lang w:val="ru-RU"/>
              </w:rPr>
              <w:t xml:space="preserve"> складу са чланом 7</w:t>
            </w:r>
            <w:r w:rsidRPr="001B11AB">
              <w:rPr>
                <w:rFonts w:ascii="Times New Roman" w:hAnsi="Times New Roman" w:cs="Times New Roman"/>
                <w:i/>
                <w:sz w:val="20"/>
                <w:szCs w:val="20"/>
                <w:lang w:val="ru-RU"/>
              </w:rPr>
              <w:t xml:space="preserve">. </w:t>
            </w:r>
            <w:r w:rsidR="006C44CF" w:rsidRPr="001B11AB">
              <w:rPr>
                <w:rFonts w:ascii="Times New Roman" w:hAnsi="Times New Roman" w:cs="Times New Roman"/>
                <w:i/>
                <w:sz w:val="20"/>
                <w:szCs w:val="20"/>
                <w:lang w:val="ru-RU"/>
              </w:rPr>
              <w:t>ове о</w:t>
            </w:r>
            <w:r w:rsidRPr="001B11AB">
              <w:rPr>
                <w:rFonts w:ascii="Times New Roman" w:hAnsi="Times New Roman" w:cs="Times New Roman"/>
                <w:i/>
                <w:sz w:val="20"/>
                <w:szCs w:val="20"/>
                <w:lang w:val="ru-RU"/>
              </w:rPr>
              <w:t>длуке</w:t>
            </w:r>
            <w:r w:rsidR="003541F5" w:rsidRPr="001B11AB">
              <w:rPr>
                <w:rFonts w:ascii="Times New Roman" w:hAnsi="Times New Roman" w:cs="Times New Roman"/>
                <w:i/>
                <w:sz w:val="20"/>
                <w:szCs w:val="20"/>
                <w:lang w:val="ru-RU"/>
              </w:rPr>
              <w:t>,</w:t>
            </w:r>
            <w:r w:rsidR="00766A8C" w:rsidRPr="001B11AB">
              <w:rPr>
                <w:rFonts w:ascii="Times New Roman" w:hAnsi="Times New Roman" w:cs="Times New Roman"/>
                <w:i/>
                <w:sz w:val="20"/>
                <w:szCs w:val="20"/>
                <w:lang w:val="ru-RU"/>
              </w:rPr>
              <w:t xml:space="preserve"> б</w:t>
            </w:r>
            <w:r w:rsidR="00133CE0" w:rsidRPr="001B11AB">
              <w:rPr>
                <w:rFonts w:ascii="Times New Roman" w:hAnsi="Times New Roman" w:cs="Times New Roman"/>
                <w:i/>
                <w:sz w:val="20"/>
                <w:szCs w:val="20"/>
                <w:lang w:val="ru-RU"/>
              </w:rPr>
              <w:t>анка треба да размотри најмање сљедеће ризике којима је изложена или може бити изложена:</w:t>
            </w:r>
          </w:p>
          <w:p w14:paraId="5C4E6AEA" w14:textId="77777777" w:rsidR="00184406" w:rsidRPr="001B11AB" w:rsidRDefault="00133CE0" w:rsidP="00897F23">
            <w:pPr>
              <w:pStyle w:val="ListParagraph"/>
              <w:widowControl w:val="0"/>
              <w:numPr>
                <w:ilvl w:val="0"/>
                <w:numId w:val="34"/>
              </w:numPr>
              <w:overflowPunct w:val="0"/>
              <w:autoSpaceDE w:val="0"/>
              <w:autoSpaceDN w:val="0"/>
              <w:adjustRightInd w:val="0"/>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кредитн</w:t>
            </w:r>
            <w:r w:rsidR="00184406" w:rsidRPr="001B11AB">
              <w:rPr>
                <w:rFonts w:ascii="Times New Roman" w:hAnsi="Times New Roman" w:cs="Times New Roman"/>
                <w:i/>
                <w:sz w:val="20"/>
                <w:szCs w:val="20"/>
                <w:lang w:val="ru-RU"/>
              </w:rPr>
              <w:t>и, тржишни и оперативни ризик,</w:t>
            </w:r>
          </w:p>
          <w:p w14:paraId="47687DC8" w14:textId="77777777" w:rsidR="00184406" w:rsidRPr="001B11AB" w:rsidRDefault="00184406" w:rsidP="00897F23">
            <w:pPr>
              <w:pStyle w:val="ListParagraph"/>
              <w:widowControl w:val="0"/>
              <w:numPr>
                <w:ilvl w:val="0"/>
                <w:numId w:val="34"/>
              </w:numPr>
              <w:overflowPunct w:val="0"/>
              <w:autoSpaceDE w:val="0"/>
              <w:autoSpaceDN w:val="0"/>
              <w:adjustRightInd w:val="0"/>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ризик тржишне ликвидности, </w:t>
            </w:r>
          </w:p>
          <w:p w14:paraId="0EAE3548" w14:textId="77777777" w:rsidR="00184406" w:rsidRPr="001B11AB" w:rsidRDefault="00184406" w:rsidP="00897F23">
            <w:pPr>
              <w:pStyle w:val="ListParagraph"/>
              <w:widowControl w:val="0"/>
              <w:numPr>
                <w:ilvl w:val="0"/>
                <w:numId w:val="34"/>
              </w:numPr>
              <w:overflowPunct w:val="0"/>
              <w:autoSpaceDE w:val="0"/>
              <w:autoSpaceDN w:val="0"/>
              <w:adjustRightInd w:val="0"/>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каматни ризик у банкарској књизи,</w:t>
            </w:r>
          </w:p>
          <w:p w14:paraId="4C3EB38B" w14:textId="14E8AA6E" w:rsidR="00184406" w:rsidRPr="001B11AB" w:rsidRDefault="00184406" w:rsidP="00897F23">
            <w:pPr>
              <w:pStyle w:val="ListParagraph"/>
              <w:widowControl w:val="0"/>
              <w:numPr>
                <w:ilvl w:val="0"/>
                <w:numId w:val="34"/>
              </w:numPr>
              <w:overflowPunct w:val="0"/>
              <w:autoSpaceDE w:val="0"/>
              <w:autoSpaceDN w:val="0"/>
              <w:adjustRightInd w:val="0"/>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ризик капитала и прекомјерне финансијске полуге,</w:t>
            </w:r>
          </w:p>
          <w:p w14:paraId="1C7AB1AB" w14:textId="24652513" w:rsidR="00184406" w:rsidRPr="001B11AB" w:rsidRDefault="00184406" w:rsidP="00897F23">
            <w:pPr>
              <w:pStyle w:val="ListParagraph"/>
              <w:widowControl w:val="0"/>
              <w:numPr>
                <w:ilvl w:val="0"/>
                <w:numId w:val="34"/>
              </w:numPr>
              <w:overflowPunct w:val="0"/>
              <w:autoSpaceDE w:val="0"/>
              <w:autoSpaceDN w:val="0"/>
              <w:adjustRightInd w:val="0"/>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стратешки </w:t>
            </w:r>
            <w:r w:rsidR="00766A8C" w:rsidRPr="001B11AB">
              <w:rPr>
                <w:rFonts w:ascii="Times New Roman" w:hAnsi="Times New Roman" w:cs="Times New Roman"/>
                <w:i/>
                <w:sz w:val="20"/>
                <w:szCs w:val="20"/>
                <w:lang w:val="ru-RU"/>
              </w:rPr>
              <w:t>и пословни ризик</w:t>
            </w:r>
            <w:r w:rsidR="003541F5" w:rsidRPr="001B11AB">
              <w:rPr>
                <w:rFonts w:ascii="Times New Roman" w:hAnsi="Times New Roman" w:cs="Times New Roman"/>
                <w:i/>
                <w:sz w:val="20"/>
                <w:szCs w:val="20"/>
                <w:lang w:val="ru-RU"/>
              </w:rPr>
              <w:t>,</w:t>
            </w:r>
          </w:p>
          <w:p w14:paraId="29FE9C41" w14:textId="577BC8F5" w:rsidR="00133CE0" w:rsidRPr="001B11AB" w:rsidRDefault="00184406" w:rsidP="00897F23">
            <w:pPr>
              <w:pStyle w:val="ListParagraph"/>
              <w:widowControl w:val="0"/>
              <w:numPr>
                <w:ilvl w:val="0"/>
                <w:numId w:val="34"/>
              </w:numPr>
              <w:overflowPunct w:val="0"/>
              <w:autoSpaceDE w:val="0"/>
              <w:autoSpaceDN w:val="0"/>
              <w:adjustRightInd w:val="0"/>
              <w:spacing w:after="60"/>
              <w:contextualSpacing w:val="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остале по</w:t>
            </w:r>
            <w:r w:rsidR="003541F5" w:rsidRPr="001B11AB">
              <w:rPr>
                <w:rFonts w:ascii="Times New Roman" w:hAnsi="Times New Roman" w:cs="Times New Roman"/>
                <w:i/>
                <w:sz w:val="20"/>
                <w:szCs w:val="20"/>
                <w:lang w:val="ru-RU"/>
              </w:rPr>
              <w:t>тк</w:t>
            </w:r>
            <w:r w:rsidRPr="001B11AB">
              <w:rPr>
                <w:rFonts w:ascii="Times New Roman" w:hAnsi="Times New Roman" w:cs="Times New Roman"/>
                <w:i/>
                <w:sz w:val="20"/>
                <w:szCs w:val="20"/>
                <w:lang w:val="ru-RU"/>
              </w:rPr>
              <w:t xml:space="preserve">атегорије </w:t>
            </w:r>
            <w:r w:rsidR="00133CE0" w:rsidRPr="001B11AB">
              <w:rPr>
                <w:rFonts w:ascii="Times New Roman" w:hAnsi="Times New Roman" w:cs="Times New Roman"/>
                <w:i/>
                <w:sz w:val="20"/>
                <w:szCs w:val="20"/>
                <w:lang w:val="ru-RU"/>
              </w:rPr>
              <w:t>кредитног, тржишног и оперативног ризика кој</w:t>
            </w:r>
            <w:r w:rsidR="006816EB" w:rsidRPr="001B11AB">
              <w:rPr>
                <w:rFonts w:ascii="Times New Roman" w:hAnsi="Times New Roman" w:cs="Times New Roman"/>
                <w:i/>
                <w:sz w:val="20"/>
                <w:szCs w:val="20"/>
                <w:lang w:val="ru-RU"/>
              </w:rPr>
              <w:t>е</w:t>
            </w:r>
            <w:r w:rsidR="00133CE0" w:rsidRPr="001B11AB">
              <w:rPr>
                <w:rFonts w:ascii="Times New Roman" w:hAnsi="Times New Roman" w:cs="Times New Roman"/>
                <w:i/>
                <w:sz w:val="20"/>
                <w:szCs w:val="20"/>
                <w:lang w:val="ru-RU"/>
              </w:rPr>
              <w:t xml:space="preserve"> нису у потпуности обухваћен</w:t>
            </w:r>
            <w:r w:rsidR="006816EB" w:rsidRPr="001B11AB">
              <w:rPr>
                <w:rFonts w:ascii="Times New Roman" w:hAnsi="Times New Roman" w:cs="Times New Roman"/>
                <w:i/>
                <w:sz w:val="20"/>
                <w:szCs w:val="20"/>
                <w:lang w:val="ru-RU"/>
              </w:rPr>
              <w:t>е</w:t>
            </w:r>
            <w:r w:rsidR="00133CE0" w:rsidRPr="001B11AB">
              <w:rPr>
                <w:rFonts w:ascii="Times New Roman" w:hAnsi="Times New Roman" w:cs="Times New Roman"/>
                <w:i/>
                <w:sz w:val="20"/>
                <w:szCs w:val="20"/>
                <w:lang w:val="ru-RU"/>
              </w:rPr>
              <w:t xml:space="preserve"> минималним капиталним захтјевима из Одлуке о израчунавању капитала банака</w:t>
            </w:r>
            <w:r w:rsidRPr="001B11AB">
              <w:rPr>
                <w:rFonts w:ascii="Times New Roman" w:hAnsi="Times New Roman" w:cs="Times New Roman"/>
                <w:i/>
                <w:sz w:val="20"/>
                <w:szCs w:val="20"/>
                <w:lang w:val="ru-RU"/>
              </w:rPr>
              <w:t xml:space="preserve"> (нпр. кредитно-девизни ризик, резидуални ризик, ризик концентрације, ризик земље, ризик модела, ризик несавјесног пословања (енгл. conduct risk), ризик од прања новца и финан</w:t>
            </w:r>
            <w:r w:rsidR="00FA2803" w:rsidRPr="001B11AB">
              <w:rPr>
                <w:rFonts w:ascii="Times New Roman" w:hAnsi="Times New Roman" w:cs="Times New Roman"/>
                <w:i/>
                <w:sz w:val="20"/>
                <w:szCs w:val="20"/>
                <w:lang w:val="ru-RU"/>
              </w:rPr>
              <w:t>сирања терористичких активности</w:t>
            </w:r>
            <w:r w:rsidRPr="001B11AB">
              <w:rPr>
                <w:rFonts w:ascii="Times New Roman" w:hAnsi="Times New Roman" w:cs="Times New Roman"/>
                <w:i/>
                <w:sz w:val="20"/>
                <w:szCs w:val="20"/>
                <w:lang w:val="ru-RU"/>
              </w:rPr>
              <w:t>, ризик информационог система, ризик екстернализације, репутациони ризик и сл.)</w:t>
            </w:r>
            <w:r w:rsidR="006E6B98" w:rsidRPr="001B11AB">
              <w:rPr>
                <w:rFonts w:ascii="Times New Roman" w:hAnsi="Times New Roman" w:cs="Times New Roman"/>
                <w:i/>
                <w:sz w:val="20"/>
                <w:szCs w:val="20"/>
                <w:lang w:val="ru-RU"/>
              </w:rPr>
              <w:t>.</w:t>
            </w:r>
          </w:p>
          <w:p w14:paraId="27BD26C2" w14:textId="5697DD55" w:rsidR="00766A8C" w:rsidRPr="001B11AB" w:rsidRDefault="00766A8C" w:rsidP="00897F23">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Банка у </w:t>
            </w:r>
            <w:r w:rsidR="00E92210" w:rsidRPr="001B11AB">
              <w:rPr>
                <w:rFonts w:ascii="Times New Roman" w:hAnsi="Times New Roman" w:cs="Times New Roman"/>
                <w:i/>
                <w:sz w:val="20"/>
                <w:szCs w:val="20"/>
                <w:lang w:val="ru-RU"/>
              </w:rPr>
              <w:t>Т</w:t>
            </w:r>
            <w:r w:rsidRPr="001B11AB">
              <w:rPr>
                <w:rFonts w:ascii="Times New Roman" w:hAnsi="Times New Roman" w:cs="Times New Roman"/>
                <w:i/>
                <w:sz w:val="20"/>
                <w:szCs w:val="20"/>
                <w:lang w:val="ru-RU"/>
              </w:rPr>
              <w:t>абели 1, поред претходно наведених ризика</w:t>
            </w:r>
            <w:r w:rsidR="006E6B98"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ru-RU"/>
              </w:rPr>
              <w:t xml:space="preserve"> треба навести остале ризике којима је изложена или би могла бити изложена, али не треба да наводи ризике који нису релевант</w:t>
            </w:r>
            <w:r w:rsidR="006E6B98" w:rsidRPr="001B11AB">
              <w:rPr>
                <w:rFonts w:ascii="Times New Roman" w:hAnsi="Times New Roman" w:cs="Times New Roman"/>
                <w:i/>
                <w:sz w:val="20"/>
                <w:szCs w:val="20"/>
                <w:lang w:val="ru-RU"/>
              </w:rPr>
              <w:t>н</w:t>
            </w:r>
            <w:r w:rsidRPr="001B11AB">
              <w:rPr>
                <w:rFonts w:ascii="Times New Roman" w:hAnsi="Times New Roman" w:cs="Times New Roman"/>
                <w:i/>
                <w:sz w:val="20"/>
                <w:szCs w:val="20"/>
                <w:lang w:val="ru-RU"/>
              </w:rPr>
              <w:t xml:space="preserve">и за њу (нпр. у случају чланица </w:t>
            </w:r>
            <w:r w:rsidR="00702A82" w:rsidRPr="001B11AB">
              <w:rPr>
                <w:rFonts w:ascii="Times New Roman" w:hAnsi="Times New Roman" w:cs="Times New Roman"/>
                <w:i/>
                <w:sz w:val="20"/>
                <w:szCs w:val="20"/>
                <w:lang w:val="ru-RU"/>
              </w:rPr>
              <w:t>великих банкарских групација</w:t>
            </w:r>
            <w:r w:rsidR="006E6B98" w:rsidRPr="001B11AB">
              <w:rPr>
                <w:rFonts w:ascii="Times New Roman" w:hAnsi="Times New Roman" w:cs="Times New Roman"/>
                <w:i/>
                <w:sz w:val="20"/>
                <w:szCs w:val="20"/>
                <w:lang w:val="ru-RU"/>
              </w:rPr>
              <w:t>,</w:t>
            </w:r>
            <w:r w:rsidR="00702A82" w:rsidRPr="001B11AB">
              <w:rPr>
                <w:rFonts w:ascii="Times New Roman" w:hAnsi="Times New Roman" w:cs="Times New Roman"/>
                <w:i/>
                <w:sz w:val="20"/>
                <w:szCs w:val="20"/>
                <w:lang w:val="ru-RU"/>
              </w:rPr>
              <w:t xml:space="preserve"> н</w:t>
            </w:r>
            <w:r w:rsidRPr="001B11AB">
              <w:rPr>
                <w:rFonts w:ascii="Times New Roman" w:hAnsi="Times New Roman" w:cs="Times New Roman"/>
                <w:i/>
                <w:sz w:val="20"/>
                <w:szCs w:val="20"/>
                <w:lang w:val="ru-RU"/>
              </w:rPr>
              <w:t xml:space="preserve">е </w:t>
            </w:r>
            <w:r w:rsidR="00702A82" w:rsidRPr="001B11AB">
              <w:rPr>
                <w:rFonts w:ascii="Times New Roman" w:hAnsi="Times New Roman" w:cs="Times New Roman"/>
                <w:i/>
                <w:sz w:val="20"/>
                <w:szCs w:val="20"/>
                <w:lang w:val="ru-RU"/>
              </w:rPr>
              <w:t>треба</w:t>
            </w:r>
            <w:r w:rsidRPr="001B11AB">
              <w:rPr>
                <w:rFonts w:ascii="Times New Roman" w:hAnsi="Times New Roman" w:cs="Times New Roman"/>
                <w:i/>
                <w:sz w:val="20"/>
                <w:szCs w:val="20"/>
                <w:lang w:val="ru-RU"/>
              </w:rPr>
              <w:t xml:space="preserve"> наводи</w:t>
            </w:r>
            <w:r w:rsidR="006E6B98" w:rsidRPr="001B11AB">
              <w:rPr>
                <w:rFonts w:ascii="Times New Roman" w:hAnsi="Times New Roman" w:cs="Times New Roman"/>
                <w:i/>
                <w:sz w:val="20"/>
                <w:szCs w:val="20"/>
                <w:lang w:val="ru-RU"/>
              </w:rPr>
              <w:t>ти</w:t>
            </w:r>
            <w:r w:rsidRPr="001B11AB">
              <w:rPr>
                <w:rFonts w:ascii="Times New Roman" w:hAnsi="Times New Roman" w:cs="Times New Roman"/>
                <w:i/>
                <w:sz w:val="20"/>
                <w:szCs w:val="20"/>
                <w:lang w:val="ru-RU"/>
              </w:rPr>
              <w:t xml:space="preserve"> ризике који нису релевантни за локалну банку).</w:t>
            </w:r>
          </w:p>
        </w:tc>
      </w:tr>
    </w:tbl>
    <w:p w14:paraId="606EBAD4" w14:textId="77777777" w:rsidR="006773EB" w:rsidRPr="001B11AB" w:rsidRDefault="006773EB" w:rsidP="00897F23">
      <w:pPr>
        <w:spacing w:after="0" w:line="240" w:lineRule="auto"/>
        <w:rPr>
          <w:rFonts w:ascii="Times New Roman" w:hAnsi="Times New Roman" w:cs="Times New Roman"/>
          <w:lang w:val="sr-Cyrl-BA"/>
        </w:rPr>
      </w:pPr>
    </w:p>
    <w:tbl>
      <w:tblPr>
        <w:tblStyle w:val="TableGrid"/>
        <w:tblW w:w="9464" w:type="dxa"/>
        <w:tblLook w:val="04A0" w:firstRow="1" w:lastRow="0" w:firstColumn="1" w:lastColumn="0" w:noHBand="0" w:noVBand="1"/>
      </w:tblPr>
      <w:tblGrid>
        <w:gridCol w:w="9464"/>
      </w:tblGrid>
      <w:tr w:rsidR="005C6636" w:rsidRPr="001B11AB" w14:paraId="55D9D613" w14:textId="77777777" w:rsidTr="00EC1920">
        <w:tc>
          <w:tcPr>
            <w:tcW w:w="9464" w:type="dxa"/>
            <w:tcBorders>
              <w:bottom w:val="single" w:sz="4" w:space="0" w:color="auto"/>
            </w:tcBorders>
            <w:shd w:val="clear" w:color="auto" w:fill="F2F2F2" w:themeFill="background1" w:themeFillShade="F2"/>
          </w:tcPr>
          <w:p w14:paraId="13022F36"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 xml:space="preserve">4.2. Ризични профил и значајност ризика </w:t>
            </w:r>
          </w:p>
        </w:tc>
      </w:tr>
      <w:tr w:rsidR="005C6636" w:rsidRPr="001B11AB" w14:paraId="2B55636B" w14:textId="77777777" w:rsidTr="006F4726">
        <w:tc>
          <w:tcPr>
            <w:tcW w:w="9464" w:type="dxa"/>
            <w:shd w:val="clear" w:color="auto" w:fill="auto"/>
          </w:tcPr>
          <w:p w14:paraId="20F67E3B"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описује начин утврђивања значајности ризика.]</w:t>
            </w:r>
          </w:p>
        </w:tc>
      </w:tr>
      <w:tr w:rsidR="005C6636" w:rsidRPr="001B11AB" w14:paraId="295443D0" w14:textId="77777777" w:rsidTr="006F4726">
        <w:tc>
          <w:tcPr>
            <w:tcW w:w="9464" w:type="dxa"/>
            <w:shd w:val="clear" w:color="auto" w:fill="auto"/>
          </w:tcPr>
          <w:p w14:paraId="05D3CC60" w14:textId="1B12E770" w:rsidR="00E740BB" w:rsidRPr="001B11AB" w:rsidRDefault="00E740BB" w:rsidP="006E6B98">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факторе на основу којих се утврђује значајност ризика те описује начин процјењивања фактора ризика.]</w:t>
            </w:r>
            <w:r w:rsidR="0059493D" w:rsidRPr="001B11AB">
              <w:rPr>
                <w:rFonts w:ascii="Times New Roman" w:hAnsi="Times New Roman" w:cs="Times New Roman"/>
                <w:sz w:val="16"/>
                <w:szCs w:val="16"/>
                <w:lang w:val="ru-RU"/>
              </w:rPr>
              <w:t xml:space="preserve"> </w:t>
            </w:r>
          </w:p>
        </w:tc>
      </w:tr>
      <w:tr w:rsidR="005C6636" w:rsidRPr="001B11AB" w14:paraId="2358E811" w14:textId="77777777" w:rsidTr="006F4726">
        <w:tc>
          <w:tcPr>
            <w:tcW w:w="9464" w:type="dxa"/>
            <w:shd w:val="clear" w:color="auto" w:fill="auto"/>
          </w:tcPr>
          <w:p w14:paraId="20BA3A3D"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 xml:space="preserve">Банка наводи значајне ризике (Табела 2) и ризике који нису значајни, уз навођење разлога због којих сматра </w:t>
            </w:r>
            <w:r w:rsidRPr="001B11AB">
              <w:rPr>
                <w:rFonts w:ascii="Times New Roman" w:hAnsi="Times New Roman" w:cs="Times New Roman"/>
                <w:i/>
                <w:sz w:val="20"/>
                <w:szCs w:val="20"/>
                <w:lang w:val="ru-RU"/>
              </w:rPr>
              <w:t>да изложеност банке тим ризицима није значајна (Табела 3).]</w:t>
            </w:r>
            <w:r w:rsidR="0059493D" w:rsidRPr="001B11AB">
              <w:rPr>
                <w:rFonts w:ascii="Times New Roman" w:hAnsi="Times New Roman" w:cs="Times New Roman"/>
                <w:sz w:val="16"/>
                <w:szCs w:val="16"/>
                <w:lang w:val="ru-RU"/>
              </w:rPr>
              <w:t xml:space="preserve"> </w:t>
            </w:r>
          </w:p>
        </w:tc>
      </w:tr>
    </w:tbl>
    <w:p w14:paraId="24CB869B" w14:textId="77777777" w:rsidR="00E740BB" w:rsidRPr="001B11AB" w:rsidRDefault="00E740BB" w:rsidP="00897F23">
      <w:pPr>
        <w:spacing w:after="0" w:line="240" w:lineRule="auto"/>
        <w:rPr>
          <w:rFonts w:ascii="Times New Roman" w:hAnsi="Times New Roman" w:cs="Times New Roman"/>
          <w:lang w:val="hr-HR"/>
        </w:rPr>
      </w:pPr>
    </w:p>
    <w:p w14:paraId="2EF7A527" w14:textId="77777777" w:rsidR="00E740BB" w:rsidRPr="001B11AB" w:rsidRDefault="00E740BB" w:rsidP="00897F23">
      <w:pPr>
        <w:pStyle w:val="Heading3"/>
        <w:spacing w:before="0" w:line="240" w:lineRule="auto"/>
        <w:rPr>
          <w:rFonts w:ascii="Times New Roman" w:hAnsi="Times New Roman" w:cs="Times New Roman"/>
          <w:color w:val="auto"/>
          <w:sz w:val="20"/>
          <w:szCs w:val="20"/>
        </w:rPr>
      </w:pPr>
      <w:r w:rsidRPr="001B11AB">
        <w:rPr>
          <w:rFonts w:ascii="Times New Roman" w:hAnsi="Times New Roman" w:cs="Times New Roman"/>
          <w:color w:val="auto"/>
          <w:sz w:val="20"/>
          <w:szCs w:val="20"/>
        </w:rPr>
        <w:lastRenderedPageBreak/>
        <w:t>Табела</w:t>
      </w:r>
      <w:r w:rsidRPr="001B11AB">
        <w:rPr>
          <w:rFonts w:ascii="Times New Roman" w:hAnsi="Times New Roman" w:cs="Times New Roman"/>
          <w:color w:val="auto"/>
          <w:sz w:val="20"/>
          <w:szCs w:val="20"/>
          <w:lang w:val="hr-HR"/>
        </w:rPr>
        <w:t xml:space="preserve"> 2. </w:t>
      </w:r>
      <w:r w:rsidRPr="001B11AB">
        <w:rPr>
          <w:rFonts w:ascii="Times New Roman" w:hAnsi="Times New Roman" w:cs="Times New Roman"/>
          <w:color w:val="auto"/>
          <w:sz w:val="20"/>
          <w:szCs w:val="20"/>
        </w:rPr>
        <w:t>Значајни ризици</w:t>
      </w:r>
    </w:p>
    <w:p w14:paraId="6D878F86" w14:textId="77777777" w:rsidR="00E740BB" w:rsidRPr="001B11AB" w:rsidRDefault="00E740BB" w:rsidP="00897F23">
      <w:pPr>
        <w:spacing w:after="0" w:line="240" w:lineRule="auto"/>
        <w:rPr>
          <w:rFonts w:ascii="Times New Roman" w:hAnsi="Times New Roman" w:cs="Times New Roman"/>
          <w:lang w:val="hr-HR"/>
        </w:rPr>
      </w:pPr>
    </w:p>
    <w:tbl>
      <w:tblPr>
        <w:tblStyle w:val="TableGrid"/>
        <w:tblW w:w="9464" w:type="dxa"/>
        <w:tblLook w:val="04A0" w:firstRow="1" w:lastRow="0" w:firstColumn="1" w:lastColumn="0" w:noHBand="0" w:noVBand="1"/>
      </w:tblPr>
      <w:tblGrid>
        <w:gridCol w:w="1404"/>
        <w:gridCol w:w="1823"/>
        <w:gridCol w:w="6237"/>
      </w:tblGrid>
      <w:tr w:rsidR="005C6636" w:rsidRPr="001B11AB" w14:paraId="5118492C" w14:textId="77777777" w:rsidTr="00BF0BC5">
        <w:trPr>
          <w:trHeight w:val="230"/>
        </w:trPr>
        <w:tc>
          <w:tcPr>
            <w:tcW w:w="1404" w:type="dxa"/>
            <w:vMerge w:val="restart"/>
            <w:shd w:val="clear" w:color="auto" w:fill="F2F2F2" w:themeFill="background1" w:themeFillShade="F2"/>
            <w:vAlign w:val="center"/>
          </w:tcPr>
          <w:p w14:paraId="0499F707" w14:textId="77777777" w:rsidR="00EC1920" w:rsidRPr="001B11AB" w:rsidRDefault="00EC1920" w:rsidP="00897F23">
            <w:pPr>
              <w:jc w:val="center"/>
              <w:rPr>
                <w:rFonts w:ascii="Times New Roman" w:hAnsi="Times New Roman" w:cs="Times New Roman"/>
                <w:b/>
                <w:sz w:val="18"/>
                <w:szCs w:val="18"/>
              </w:rPr>
            </w:pPr>
            <w:r w:rsidRPr="001B11AB">
              <w:rPr>
                <w:rFonts w:ascii="Times New Roman" w:hAnsi="Times New Roman" w:cs="Times New Roman"/>
                <w:b/>
                <w:sz w:val="18"/>
                <w:szCs w:val="18"/>
              </w:rPr>
              <w:t>Значајни ризици</w:t>
            </w:r>
          </w:p>
        </w:tc>
        <w:tc>
          <w:tcPr>
            <w:tcW w:w="1823" w:type="dxa"/>
            <w:vMerge w:val="restart"/>
            <w:shd w:val="clear" w:color="auto" w:fill="F2F2F2" w:themeFill="background1" w:themeFillShade="F2"/>
            <w:vAlign w:val="center"/>
          </w:tcPr>
          <w:p w14:paraId="21A67806" w14:textId="77777777" w:rsidR="00EC1920" w:rsidRPr="001B11AB" w:rsidRDefault="00EC1920" w:rsidP="00897F23">
            <w:pPr>
              <w:jc w:val="center"/>
              <w:rPr>
                <w:rFonts w:ascii="Times New Roman" w:hAnsi="Times New Roman" w:cs="Times New Roman"/>
                <w:b/>
                <w:sz w:val="18"/>
                <w:szCs w:val="18"/>
              </w:rPr>
            </w:pPr>
            <w:r w:rsidRPr="001B11AB">
              <w:rPr>
                <w:rFonts w:ascii="Times New Roman" w:hAnsi="Times New Roman" w:cs="Times New Roman"/>
                <w:b/>
                <w:sz w:val="18"/>
                <w:szCs w:val="18"/>
              </w:rPr>
              <w:t>Оцјена значајности ризика</w:t>
            </w:r>
          </w:p>
        </w:tc>
        <w:tc>
          <w:tcPr>
            <w:tcW w:w="6237" w:type="dxa"/>
            <w:vMerge w:val="restart"/>
            <w:shd w:val="clear" w:color="auto" w:fill="F2F2F2" w:themeFill="background1" w:themeFillShade="F2"/>
            <w:vAlign w:val="center"/>
          </w:tcPr>
          <w:p w14:paraId="0A5745AA" w14:textId="77777777" w:rsidR="00EC1920" w:rsidRPr="001B11AB" w:rsidRDefault="00EC1920" w:rsidP="00897F23">
            <w:pPr>
              <w:jc w:val="center"/>
              <w:rPr>
                <w:rFonts w:ascii="Times New Roman" w:hAnsi="Times New Roman" w:cs="Times New Roman"/>
                <w:b/>
                <w:sz w:val="18"/>
                <w:szCs w:val="18"/>
              </w:rPr>
            </w:pPr>
            <w:r w:rsidRPr="001B11AB">
              <w:rPr>
                <w:rFonts w:ascii="Times New Roman" w:hAnsi="Times New Roman" w:cs="Times New Roman"/>
                <w:b/>
                <w:sz w:val="18"/>
                <w:szCs w:val="18"/>
              </w:rPr>
              <w:t>Образложење оцјене значајности ризика</w:t>
            </w:r>
          </w:p>
        </w:tc>
      </w:tr>
      <w:tr w:rsidR="005C6636" w:rsidRPr="001B11AB" w14:paraId="6364158E" w14:textId="77777777" w:rsidTr="00BF0BC5">
        <w:trPr>
          <w:trHeight w:val="230"/>
        </w:trPr>
        <w:tc>
          <w:tcPr>
            <w:tcW w:w="1404" w:type="dxa"/>
            <w:vMerge/>
            <w:shd w:val="clear" w:color="auto" w:fill="D9D9D9" w:themeFill="background1" w:themeFillShade="D9"/>
            <w:vAlign w:val="center"/>
          </w:tcPr>
          <w:p w14:paraId="2BBC0297" w14:textId="77777777" w:rsidR="00EC1920" w:rsidRPr="001B11AB" w:rsidRDefault="00EC1920" w:rsidP="00897F23">
            <w:pPr>
              <w:jc w:val="center"/>
              <w:rPr>
                <w:rFonts w:ascii="Times New Roman" w:hAnsi="Times New Roman" w:cs="Times New Roman"/>
                <w:b/>
                <w:sz w:val="18"/>
                <w:szCs w:val="18"/>
                <w:lang w:val="hr-HR"/>
              </w:rPr>
            </w:pPr>
          </w:p>
        </w:tc>
        <w:tc>
          <w:tcPr>
            <w:tcW w:w="1823" w:type="dxa"/>
            <w:vMerge/>
            <w:shd w:val="clear" w:color="auto" w:fill="D9D9D9" w:themeFill="background1" w:themeFillShade="D9"/>
            <w:vAlign w:val="center"/>
          </w:tcPr>
          <w:p w14:paraId="66BC1A05" w14:textId="77777777" w:rsidR="00EC1920" w:rsidRPr="001B11AB" w:rsidRDefault="00EC1920" w:rsidP="00897F23">
            <w:pPr>
              <w:jc w:val="center"/>
              <w:rPr>
                <w:rFonts w:ascii="Times New Roman" w:hAnsi="Times New Roman" w:cs="Times New Roman"/>
                <w:b/>
                <w:sz w:val="18"/>
                <w:szCs w:val="18"/>
                <w:lang w:val="hr-HR"/>
              </w:rPr>
            </w:pPr>
          </w:p>
        </w:tc>
        <w:tc>
          <w:tcPr>
            <w:tcW w:w="6237" w:type="dxa"/>
            <w:vMerge/>
            <w:shd w:val="clear" w:color="auto" w:fill="D9D9D9" w:themeFill="background1" w:themeFillShade="D9"/>
            <w:vAlign w:val="center"/>
          </w:tcPr>
          <w:p w14:paraId="593F1060" w14:textId="77777777" w:rsidR="00EC1920" w:rsidRPr="001B11AB" w:rsidRDefault="00EC1920" w:rsidP="00897F23">
            <w:pPr>
              <w:jc w:val="center"/>
              <w:rPr>
                <w:rFonts w:ascii="Times New Roman" w:hAnsi="Times New Roman" w:cs="Times New Roman"/>
                <w:b/>
                <w:sz w:val="18"/>
                <w:szCs w:val="18"/>
                <w:lang w:val="hr-HR"/>
              </w:rPr>
            </w:pPr>
          </w:p>
        </w:tc>
      </w:tr>
      <w:tr w:rsidR="005C6636" w:rsidRPr="001B11AB" w14:paraId="2EA396A5" w14:textId="77777777" w:rsidTr="00BF0BC5">
        <w:tc>
          <w:tcPr>
            <w:tcW w:w="1404" w:type="dxa"/>
          </w:tcPr>
          <w:p w14:paraId="119BCAE5" w14:textId="77777777" w:rsidR="00EC1920" w:rsidRPr="001B11AB" w:rsidRDefault="00EC1920" w:rsidP="00897F23">
            <w:pPr>
              <w:rPr>
                <w:rFonts w:ascii="Times New Roman" w:hAnsi="Times New Roman" w:cs="Times New Roman"/>
                <w:b/>
                <w:sz w:val="18"/>
                <w:szCs w:val="18"/>
                <w:lang w:val="hr-HR"/>
              </w:rPr>
            </w:pPr>
            <w:r w:rsidRPr="001B11AB">
              <w:rPr>
                <w:rFonts w:ascii="Times New Roman" w:hAnsi="Times New Roman" w:cs="Times New Roman"/>
                <w:b/>
                <w:sz w:val="18"/>
                <w:szCs w:val="18"/>
                <w:lang w:val="hr-HR"/>
              </w:rPr>
              <w:t>…</w:t>
            </w:r>
          </w:p>
        </w:tc>
        <w:tc>
          <w:tcPr>
            <w:tcW w:w="1823" w:type="dxa"/>
          </w:tcPr>
          <w:p w14:paraId="20C372A8" w14:textId="77777777" w:rsidR="00EC1920" w:rsidRPr="001B11AB" w:rsidRDefault="00EC1920" w:rsidP="00897F23">
            <w:pPr>
              <w:rPr>
                <w:rFonts w:ascii="Times New Roman" w:hAnsi="Times New Roman" w:cs="Times New Roman"/>
                <w:sz w:val="18"/>
                <w:szCs w:val="18"/>
                <w:lang w:val="hr-HR"/>
              </w:rPr>
            </w:pPr>
          </w:p>
        </w:tc>
        <w:tc>
          <w:tcPr>
            <w:tcW w:w="6237" w:type="dxa"/>
          </w:tcPr>
          <w:p w14:paraId="05126B1B" w14:textId="77777777" w:rsidR="00EC1920" w:rsidRPr="001B11AB" w:rsidRDefault="00EC1920" w:rsidP="00897F23">
            <w:pPr>
              <w:rPr>
                <w:rFonts w:ascii="Times New Roman" w:hAnsi="Times New Roman" w:cs="Times New Roman"/>
                <w:sz w:val="18"/>
                <w:szCs w:val="18"/>
                <w:lang w:val="hr-HR"/>
              </w:rPr>
            </w:pPr>
          </w:p>
        </w:tc>
      </w:tr>
      <w:tr w:rsidR="005C6636" w:rsidRPr="001B11AB" w14:paraId="2A2217A9" w14:textId="77777777" w:rsidTr="00BF0BC5">
        <w:tc>
          <w:tcPr>
            <w:tcW w:w="1404" w:type="dxa"/>
          </w:tcPr>
          <w:p w14:paraId="54D6F562" w14:textId="77777777" w:rsidR="00EC1920" w:rsidRPr="001B11AB" w:rsidRDefault="00EC1920" w:rsidP="00897F23">
            <w:pPr>
              <w:rPr>
                <w:rFonts w:ascii="Times New Roman" w:hAnsi="Times New Roman" w:cs="Times New Roman"/>
                <w:sz w:val="18"/>
                <w:szCs w:val="18"/>
                <w:lang w:val="hr-HR"/>
              </w:rPr>
            </w:pPr>
          </w:p>
        </w:tc>
        <w:tc>
          <w:tcPr>
            <w:tcW w:w="1823" w:type="dxa"/>
          </w:tcPr>
          <w:p w14:paraId="55908857" w14:textId="77777777" w:rsidR="00EC1920" w:rsidRPr="001B11AB" w:rsidRDefault="00EC1920" w:rsidP="00897F23">
            <w:pPr>
              <w:rPr>
                <w:rFonts w:ascii="Times New Roman" w:hAnsi="Times New Roman" w:cs="Times New Roman"/>
                <w:sz w:val="18"/>
                <w:szCs w:val="18"/>
                <w:lang w:val="hr-HR"/>
              </w:rPr>
            </w:pPr>
          </w:p>
        </w:tc>
        <w:tc>
          <w:tcPr>
            <w:tcW w:w="6237" w:type="dxa"/>
          </w:tcPr>
          <w:p w14:paraId="24CB6659" w14:textId="77777777" w:rsidR="00EC1920" w:rsidRPr="001B11AB" w:rsidRDefault="00EC1920" w:rsidP="00897F23">
            <w:pPr>
              <w:rPr>
                <w:rFonts w:ascii="Times New Roman" w:hAnsi="Times New Roman" w:cs="Times New Roman"/>
                <w:sz w:val="18"/>
                <w:szCs w:val="18"/>
                <w:lang w:val="hr-HR"/>
              </w:rPr>
            </w:pPr>
          </w:p>
        </w:tc>
      </w:tr>
      <w:tr w:rsidR="005C6636" w:rsidRPr="001B11AB" w14:paraId="79DF38D3" w14:textId="77777777" w:rsidTr="00BF0BC5">
        <w:tc>
          <w:tcPr>
            <w:tcW w:w="1404" w:type="dxa"/>
          </w:tcPr>
          <w:p w14:paraId="78F27220" w14:textId="77777777" w:rsidR="00EC1920" w:rsidRPr="001B11AB" w:rsidRDefault="00EC1920" w:rsidP="00897F23">
            <w:pPr>
              <w:rPr>
                <w:rFonts w:ascii="Times New Roman" w:hAnsi="Times New Roman" w:cs="Times New Roman"/>
                <w:sz w:val="18"/>
                <w:szCs w:val="18"/>
                <w:lang w:val="hr-HR"/>
              </w:rPr>
            </w:pPr>
          </w:p>
        </w:tc>
        <w:tc>
          <w:tcPr>
            <w:tcW w:w="1823" w:type="dxa"/>
          </w:tcPr>
          <w:p w14:paraId="08113DA0" w14:textId="77777777" w:rsidR="00EC1920" w:rsidRPr="001B11AB" w:rsidRDefault="00EC1920" w:rsidP="00897F23">
            <w:pPr>
              <w:rPr>
                <w:rFonts w:ascii="Times New Roman" w:hAnsi="Times New Roman" w:cs="Times New Roman"/>
                <w:sz w:val="18"/>
                <w:szCs w:val="18"/>
                <w:lang w:val="hr-HR"/>
              </w:rPr>
            </w:pPr>
          </w:p>
        </w:tc>
        <w:tc>
          <w:tcPr>
            <w:tcW w:w="6237" w:type="dxa"/>
          </w:tcPr>
          <w:p w14:paraId="1875CA51" w14:textId="77777777" w:rsidR="00EC1920" w:rsidRPr="001B11AB" w:rsidRDefault="00EC1920" w:rsidP="00897F23">
            <w:pPr>
              <w:rPr>
                <w:rFonts w:ascii="Times New Roman" w:hAnsi="Times New Roman" w:cs="Times New Roman"/>
                <w:sz w:val="18"/>
                <w:szCs w:val="18"/>
                <w:lang w:val="hr-HR"/>
              </w:rPr>
            </w:pPr>
          </w:p>
        </w:tc>
      </w:tr>
    </w:tbl>
    <w:p w14:paraId="0393E7B9" w14:textId="77777777" w:rsidR="001824A7" w:rsidRPr="001B11AB" w:rsidRDefault="001824A7" w:rsidP="00897F23">
      <w:pPr>
        <w:pStyle w:val="Heading3"/>
        <w:spacing w:before="0" w:line="240" w:lineRule="auto"/>
        <w:rPr>
          <w:rFonts w:ascii="Times New Roman" w:hAnsi="Times New Roman" w:cs="Times New Roman"/>
          <w:color w:val="auto"/>
          <w:sz w:val="20"/>
          <w:szCs w:val="20"/>
          <w:lang w:val="ru-RU"/>
        </w:rPr>
      </w:pPr>
    </w:p>
    <w:p w14:paraId="5C2D5B6E" w14:textId="77777777" w:rsidR="00E740BB" w:rsidRPr="001B11AB" w:rsidRDefault="00E740BB" w:rsidP="00897F23">
      <w:pPr>
        <w:pStyle w:val="Heading3"/>
        <w:spacing w:before="0" w:line="240" w:lineRule="auto"/>
        <w:rPr>
          <w:rFonts w:ascii="Times New Roman" w:hAnsi="Times New Roman" w:cs="Times New Roman"/>
          <w:color w:val="auto"/>
          <w:sz w:val="20"/>
          <w:szCs w:val="20"/>
        </w:rPr>
      </w:pPr>
      <w:r w:rsidRPr="001B11AB">
        <w:rPr>
          <w:rFonts w:ascii="Times New Roman" w:hAnsi="Times New Roman" w:cs="Times New Roman"/>
          <w:color w:val="auto"/>
          <w:sz w:val="20"/>
          <w:szCs w:val="20"/>
        </w:rPr>
        <w:t>Табела 3. Ризици који нису значајни</w:t>
      </w:r>
    </w:p>
    <w:p w14:paraId="53195FC7" w14:textId="77777777" w:rsidR="00E740BB" w:rsidRPr="001B11AB" w:rsidRDefault="00E740BB" w:rsidP="00897F23">
      <w:pPr>
        <w:spacing w:after="0" w:line="240" w:lineRule="auto"/>
        <w:rPr>
          <w:rFonts w:ascii="Times New Roman" w:hAnsi="Times New Roman" w:cs="Times New Roman"/>
          <w:lang w:val="hr-HR"/>
        </w:rPr>
      </w:pPr>
    </w:p>
    <w:tbl>
      <w:tblPr>
        <w:tblStyle w:val="TableGrid"/>
        <w:tblW w:w="9464" w:type="dxa"/>
        <w:tblLook w:val="04A0" w:firstRow="1" w:lastRow="0" w:firstColumn="1" w:lastColumn="0" w:noHBand="0" w:noVBand="1"/>
      </w:tblPr>
      <w:tblGrid>
        <w:gridCol w:w="3227"/>
        <w:gridCol w:w="6237"/>
      </w:tblGrid>
      <w:tr w:rsidR="005C6636" w:rsidRPr="001B11AB" w14:paraId="206A5E05" w14:textId="77777777" w:rsidTr="00E92210">
        <w:trPr>
          <w:trHeight w:val="230"/>
        </w:trPr>
        <w:tc>
          <w:tcPr>
            <w:tcW w:w="3227" w:type="dxa"/>
            <w:vMerge w:val="restart"/>
            <w:shd w:val="clear" w:color="auto" w:fill="F2F2F2" w:themeFill="background1" w:themeFillShade="F2"/>
            <w:vAlign w:val="center"/>
          </w:tcPr>
          <w:p w14:paraId="0F7C46D0" w14:textId="77777777" w:rsidR="00E740BB" w:rsidRPr="001B11AB" w:rsidRDefault="00E740BB" w:rsidP="00897F23">
            <w:pPr>
              <w:jc w:val="center"/>
              <w:rPr>
                <w:rFonts w:ascii="Times New Roman" w:hAnsi="Times New Roman" w:cs="Times New Roman"/>
                <w:b/>
                <w:sz w:val="18"/>
                <w:szCs w:val="18"/>
              </w:rPr>
            </w:pPr>
            <w:r w:rsidRPr="001B11AB">
              <w:rPr>
                <w:rFonts w:ascii="Times New Roman" w:hAnsi="Times New Roman" w:cs="Times New Roman"/>
                <w:b/>
                <w:sz w:val="18"/>
                <w:szCs w:val="18"/>
              </w:rPr>
              <w:t>Ризици који нису значајни</w:t>
            </w:r>
          </w:p>
        </w:tc>
        <w:tc>
          <w:tcPr>
            <w:tcW w:w="6237" w:type="dxa"/>
            <w:vMerge w:val="restart"/>
            <w:shd w:val="clear" w:color="auto" w:fill="F2F2F2" w:themeFill="background1" w:themeFillShade="F2"/>
            <w:vAlign w:val="center"/>
          </w:tcPr>
          <w:p w14:paraId="2DB55428" w14:textId="77777777" w:rsidR="00E740BB" w:rsidRPr="001B11AB" w:rsidRDefault="00E740BB" w:rsidP="00897F23">
            <w:pPr>
              <w:jc w:val="center"/>
              <w:rPr>
                <w:rFonts w:ascii="Times New Roman" w:hAnsi="Times New Roman" w:cs="Times New Roman"/>
                <w:b/>
                <w:sz w:val="18"/>
                <w:szCs w:val="18"/>
                <w:lang w:val="ru-RU"/>
              </w:rPr>
            </w:pPr>
            <w:r w:rsidRPr="001B11AB">
              <w:rPr>
                <w:rFonts w:ascii="Times New Roman" w:hAnsi="Times New Roman" w:cs="Times New Roman"/>
                <w:b/>
                <w:sz w:val="18"/>
                <w:szCs w:val="18"/>
                <w:lang w:val="ru-RU"/>
              </w:rPr>
              <w:t xml:space="preserve">Образложење разлога </w:t>
            </w:r>
            <w:r w:rsidRPr="001B11AB">
              <w:rPr>
                <w:rFonts w:ascii="Times New Roman" w:hAnsi="Times New Roman" w:cs="Times New Roman"/>
                <w:b/>
                <w:sz w:val="18"/>
                <w:szCs w:val="18"/>
                <w:lang w:val="sr-Cyrl-CS"/>
              </w:rPr>
              <w:t xml:space="preserve">због којих банка сматра </w:t>
            </w:r>
            <w:r w:rsidRPr="001B11AB">
              <w:rPr>
                <w:rFonts w:ascii="Times New Roman" w:hAnsi="Times New Roman" w:cs="Times New Roman"/>
                <w:b/>
                <w:sz w:val="18"/>
                <w:szCs w:val="18"/>
                <w:lang w:val="ru-RU"/>
              </w:rPr>
              <w:t>да изложеност тим ризицима није значајна</w:t>
            </w:r>
          </w:p>
        </w:tc>
      </w:tr>
      <w:tr w:rsidR="005C6636" w:rsidRPr="001B11AB" w14:paraId="6F4725EA" w14:textId="77777777" w:rsidTr="00E92210">
        <w:trPr>
          <w:trHeight w:val="230"/>
        </w:trPr>
        <w:tc>
          <w:tcPr>
            <w:tcW w:w="3227" w:type="dxa"/>
            <w:vMerge/>
            <w:shd w:val="clear" w:color="auto" w:fill="F2F2F2" w:themeFill="background1" w:themeFillShade="F2"/>
            <w:vAlign w:val="center"/>
          </w:tcPr>
          <w:p w14:paraId="2BA5B757" w14:textId="77777777" w:rsidR="00E740BB" w:rsidRPr="001B11AB" w:rsidRDefault="00E740BB" w:rsidP="00897F23">
            <w:pPr>
              <w:jc w:val="center"/>
              <w:rPr>
                <w:rFonts w:ascii="Times New Roman" w:hAnsi="Times New Roman" w:cs="Times New Roman"/>
                <w:b/>
                <w:sz w:val="18"/>
                <w:szCs w:val="18"/>
                <w:lang w:val="hr-HR"/>
              </w:rPr>
            </w:pPr>
          </w:p>
        </w:tc>
        <w:tc>
          <w:tcPr>
            <w:tcW w:w="6237" w:type="dxa"/>
            <w:vMerge/>
            <w:shd w:val="clear" w:color="auto" w:fill="F2F2F2" w:themeFill="background1" w:themeFillShade="F2"/>
            <w:vAlign w:val="center"/>
          </w:tcPr>
          <w:p w14:paraId="0F775010" w14:textId="77777777" w:rsidR="00E740BB" w:rsidRPr="001B11AB" w:rsidRDefault="00E740BB" w:rsidP="00897F23">
            <w:pPr>
              <w:jc w:val="center"/>
              <w:rPr>
                <w:rFonts w:ascii="Times New Roman" w:hAnsi="Times New Roman" w:cs="Times New Roman"/>
                <w:b/>
                <w:sz w:val="18"/>
                <w:szCs w:val="18"/>
                <w:lang w:val="hr-HR"/>
              </w:rPr>
            </w:pPr>
          </w:p>
        </w:tc>
      </w:tr>
      <w:tr w:rsidR="005C6636" w:rsidRPr="001B11AB" w14:paraId="0669A0CC" w14:textId="77777777" w:rsidTr="00E92210">
        <w:tc>
          <w:tcPr>
            <w:tcW w:w="3227" w:type="dxa"/>
          </w:tcPr>
          <w:p w14:paraId="17867361" w14:textId="77777777" w:rsidR="00E740BB" w:rsidRPr="001B11AB" w:rsidRDefault="00E740BB" w:rsidP="00897F23">
            <w:pPr>
              <w:rPr>
                <w:rFonts w:ascii="Times New Roman" w:hAnsi="Times New Roman" w:cs="Times New Roman"/>
                <w:b/>
                <w:sz w:val="18"/>
                <w:szCs w:val="18"/>
                <w:lang w:val="hr-HR"/>
              </w:rPr>
            </w:pPr>
            <w:r w:rsidRPr="001B11AB">
              <w:rPr>
                <w:rFonts w:ascii="Times New Roman" w:hAnsi="Times New Roman" w:cs="Times New Roman"/>
                <w:b/>
                <w:sz w:val="18"/>
                <w:szCs w:val="18"/>
                <w:lang w:val="hr-HR"/>
              </w:rPr>
              <w:t>…</w:t>
            </w:r>
          </w:p>
        </w:tc>
        <w:tc>
          <w:tcPr>
            <w:tcW w:w="6237" w:type="dxa"/>
          </w:tcPr>
          <w:p w14:paraId="1C04FCF9" w14:textId="77777777" w:rsidR="00E740BB" w:rsidRPr="001B11AB" w:rsidRDefault="00E740BB" w:rsidP="00897F23">
            <w:pPr>
              <w:rPr>
                <w:rFonts w:ascii="Times New Roman" w:hAnsi="Times New Roman" w:cs="Times New Roman"/>
                <w:sz w:val="18"/>
                <w:szCs w:val="18"/>
                <w:lang w:val="hr-HR"/>
              </w:rPr>
            </w:pPr>
          </w:p>
        </w:tc>
      </w:tr>
      <w:tr w:rsidR="005C6636" w:rsidRPr="001B11AB" w14:paraId="2ABF40E4" w14:textId="77777777" w:rsidTr="00E92210">
        <w:tc>
          <w:tcPr>
            <w:tcW w:w="3227" w:type="dxa"/>
          </w:tcPr>
          <w:p w14:paraId="1D4A5866" w14:textId="77777777" w:rsidR="00E740BB" w:rsidRPr="001B11AB" w:rsidRDefault="00E740BB" w:rsidP="00897F23">
            <w:pPr>
              <w:rPr>
                <w:rFonts w:ascii="Times New Roman" w:hAnsi="Times New Roman" w:cs="Times New Roman"/>
                <w:sz w:val="18"/>
                <w:szCs w:val="18"/>
                <w:lang w:val="hr-HR"/>
              </w:rPr>
            </w:pPr>
          </w:p>
        </w:tc>
        <w:tc>
          <w:tcPr>
            <w:tcW w:w="6237" w:type="dxa"/>
          </w:tcPr>
          <w:p w14:paraId="482E13ED" w14:textId="77777777" w:rsidR="00E740BB" w:rsidRPr="001B11AB" w:rsidRDefault="00E740BB" w:rsidP="00897F23">
            <w:pPr>
              <w:rPr>
                <w:rFonts w:ascii="Times New Roman" w:hAnsi="Times New Roman" w:cs="Times New Roman"/>
                <w:sz w:val="18"/>
                <w:szCs w:val="18"/>
                <w:lang w:val="hr-HR"/>
              </w:rPr>
            </w:pPr>
          </w:p>
        </w:tc>
      </w:tr>
      <w:tr w:rsidR="005C6636" w:rsidRPr="001B11AB" w14:paraId="797C2956" w14:textId="77777777" w:rsidTr="00E92210">
        <w:tc>
          <w:tcPr>
            <w:tcW w:w="3227" w:type="dxa"/>
          </w:tcPr>
          <w:p w14:paraId="062943D9" w14:textId="77777777" w:rsidR="00E740BB" w:rsidRPr="001B11AB" w:rsidRDefault="00E740BB" w:rsidP="00897F23">
            <w:pPr>
              <w:rPr>
                <w:rFonts w:ascii="Times New Roman" w:hAnsi="Times New Roman" w:cs="Times New Roman"/>
                <w:sz w:val="18"/>
                <w:szCs w:val="18"/>
                <w:lang w:val="hr-HR"/>
              </w:rPr>
            </w:pPr>
          </w:p>
        </w:tc>
        <w:tc>
          <w:tcPr>
            <w:tcW w:w="6237" w:type="dxa"/>
          </w:tcPr>
          <w:p w14:paraId="781C8736" w14:textId="77777777" w:rsidR="00E740BB" w:rsidRPr="001B11AB" w:rsidRDefault="00E740BB" w:rsidP="00897F23">
            <w:pPr>
              <w:rPr>
                <w:rFonts w:ascii="Times New Roman" w:hAnsi="Times New Roman" w:cs="Times New Roman"/>
                <w:sz w:val="18"/>
                <w:szCs w:val="18"/>
                <w:lang w:val="hr-HR"/>
              </w:rPr>
            </w:pPr>
          </w:p>
        </w:tc>
      </w:tr>
      <w:tr w:rsidR="00E740BB" w:rsidRPr="001B11AB" w14:paraId="3762EEFF" w14:textId="77777777" w:rsidTr="00E92210">
        <w:tc>
          <w:tcPr>
            <w:tcW w:w="3227" w:type="dxa"/>
          </w:tcPr>
          <w:p w14:paraId="2B4AB8DC" w14:textId="77777777" w:rsidR="00E740BB" w:rsidRPr="001B11AB" w:rsidRDefault="00E740BB" w:rsidP="00897F23">
            <w:pPr>
              <w:rPr>
                <w:rFonts w:ascii="Times New Roman" w:hAnsi="Times New Roman" w:cs="Times New Roman"/>
                <w:sz w:val="18"/>
                <w:szCs w:val="18"/>
                <w:lang w:val="hr-HR"/>
              </w:rPr>
            </w:pPr>
          </w:p>
        </w:tc>
        <w:tc>
          <w:tcPr>
            <w:tcW w:w="6237" w:type="dxa"/>
          </w:tcPr>
          <w:p w14:paraId="6CA2AA0F" w14:textId="77777777" w:rsidR="00E740BB" w:rsidRPr="001B11AB" w:rsidRDefault="00E740BB" w:rsidP="00897F23">
            <w:pPr>
              <w:rPr>
                <w:rFonts w:ascii="Times New Roman" w:hAnsi="Times New Roman" w:cs="Times New Roman"/>
                <w:sz w:val="18"/>
                <w:szCs w:val="18"/>
                <w:lang w:val="hr-HR"/>
              </w:rPr>
            </w:pPr>
          </w:p>
        </w:tc>
      </w:tr>
    </w:tbl>
    <w:p w14:paraId="697775B1" w14:textId="77777777" w:rsidR="00EB131A" w:rsidRPr="001B11AB" w:rsidRDefault="00EB131A" w:rsidP="00897F23">
      <w:pPr>
        <w:spacing w:after="0" w:line="240" w:lineRule="auto"/>
        <w:rPr>
          <w:rFonts w:ascii="Times New Roman" w:hAnsi="Times New Roman" w:cs="Times New Roman"/>
          <w:lang w:val="sr-Cyrl-BA"/>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5C6636" w:rsidRPr="001B11AB" w14:paraId="4F3680FB" w14:textId="77777777" w:rsidTr="00E92210">
        <w:tc>
          <w:tcPr>
            <w:tcW w:w="9464" w:type="dxa"/>
            <w:shd w:val="clear" w:color="auto" w:fill="F2F2F2" w:themeFill="background1" w:themeFillShade="F2"/>
          </w:tcPr>
          <w:p w14:paraId="26EAE4F7" w14:textId="35D9AAD5" w:rsidR="00EB131A" w:rsidRPr="001B11AB" w:rsidRDefault="00EB131A" w:rsidP="00897F23">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b/>
                <w:i/>
                <w:sz w:val="20"/>
                <w:szCs w:val="20"/>
                <w:lang w:val="ru-RU"/>
              </w:rPr>
              <w:t>Напомена:</w:t>
            </w:r>
            <w:r w:rsidRPr="001B11AB">
              <w:rPr>
                <w:rFonts w:ascii="Times New Roman" w:hAnsi="Times New Roman" w:cs="Times New Roman"/>
                <w:i/>
                <w:sz w:val="20"/>
                <w:szCs w:val="20"/>
                <w:lang w:val="ru-RU"/>
              </w:rPr>
              <w:t xml:space="preserve"> </w:t>
            </w:r>
            <w:r w:rsidR="00544B75" w:rsidRPr="001B11AB">
              <w:rPr>
                <w:rFonts w:ascii="Times New Roman" w:hAnsi="Times New Roman" w:cs="Times New Roman"/>
                <w:i/>
                <w:sz w:val="20"/>
                <w:szCs w:val="20"/>
                <w:lang w:val="ru-RU"/>
              </w:rPr>
              <w:t>Б</w:t>
            </w:r>
            <w:r w:rsidRPr="001B11AB">
              <w:rPr>
                <w:rFonts w:ascii="Times New Roman" w:hAnsi="Times New Roman" w:cs="Times New Roman"/>
                <w:i/>
                <w:sz w:val="20"/>
                <w:szCs w:val="20"/>
                <w:lang w:val="ru-RU"/>
              </w:rPr>
              <w:t xml:space="preserve">анка у овом </w:t>
            </w:r>
            <w:r w:rsidR="00FA2803" w:rsidRPr="001B11AB">
              <w:rPr>
                <w:rFonts w:ascii="Times New Roman" w:hAnsi="Times New Roman" w:cs="Times New Roman"/>
                <w:i/>
                <w:sz w:val="20"/>
                <w:szCs w:val="20"/>
                <w:lang w:val="ru-RU"/>
              </w:rPr>
              <w:t xml:space="preserve">дијелу </w:t>
            </w:r>
            <w:r w:rsidRPr="001B11AB">
              <w:rPr>
                <w:rFonts w:ascii="Times New Roman" w:hAnsi="Times New Roman" w:cs="Times New Roman"/>
                <w:i/>
                <w:sz w:val="20"/>
                <w:szCs w:val="20"/>
                <w:lang w:val="ru-RU"/>
              </w:rPr>
              <w:t xml:space="preserve">доставља податке о утврђеном списку ризика којима је </w:t>
            </w:r>
            <w:r w:rsidR="00544B75" w:rsidRPr="001B11AB">
              <w:rPr>
                <w:rFonts w:ascii="Times New Roman" w:hAnsi="Times New Roman" w:cs="Times New Roman"/>
                <w:i/>
                <w:sz w:val="20"/>
                <w:szCs w:val="20"/>
                <w:lang w:val="ru-RU"/>
              </w:rPr>
              <w:t xml:space="preserve">изложена </w:t>
            </w:r>
            <w:r w:rsidRPr="001B11AB">
              <w:rPr>
                <w:rFonts w:ascii="Times New Roman" w:hAnsi="Times New Roman" w:cs="Times New Roman"/>
                <w:i/>
                <w:sz w:val="20"/>
                <w:szCs w:val="20"/>
                <w:lang w:val="ru-RU"/>
              </w:rPr>
              <w:t>или би могла бити</w:t>
            </w:r>
            <w:r w:rsidR="00544B75" w:rsidRPr="001B11AB">
              <w:rPr>
                <w:rFonts w:ascii="Times New Roman" w:hAnsi="Times New Roman" w:cs="Times New Roman"/>
                <w:i/>
                <w:sz w:val="20"/>
                <w:szCs w:val="20"/>
                <w:lang w:val="ru-RU"/>
              </w:rPr>
              <w:t xml:space="preserve"> изложена и</w:t>
            </w:r>
            <w:r w:rsidRPr="001B11AB">
              <w:rPr>
                <w:rFonts w:ascii="Times New Roman" w:hAnsi="Times New Roman" w:cs="Times New Roman"/>
                <w:i/>
                <w:sz w:val="20"/>
                <w:szCs w:val="20"/>
                <w:lang w:val="ru-RU"/>
              </w:rPr>
              <w:t xml:space="preserve"> попуњава </w:t>
            </w:r>
            <w:r w:rsidR="00544B75" w:rsidRPr="001B11AB">
              <w:rPr>
                <w:rFonts w:ascii="Times New Roman" w:hAnsi="Times New Roman" w:cs="Times New Roman"/>
                <w:i/>
                <w:sz w:val="20"/>
                <w:szCs w:val="20"/>
                <w:lang w:val="ru-RU"/>
              </w:rPr>
              <w:t xml:space="preserve">их </w:t>
            </w:r>
            <w:r w:rsidRPr="001B11AB">
              <w:rPr>
                <w:rFonts w:ascii="Times New Roman" w:hAnsi="Times New Roman" w:cs="Times New Roman"/>
                <w:i/>
                <w:sz w:val="20"/>
                <w:szCs w:val="20"/>
                <w:lang w:val="ru-RU"/>
              </w:rPr>
              <w:t xml:space="preserve">у </w:t>
            </w:r>
            <w:r w:rsidR="00FA2803" w:rsidRPr="001B11AB">
              <w:rPr>
                <w:rFonts w:ascii="Times New Roman" w:hAnsi="Times New Roman" w:cs="Times New Roman"/>
                <w:i/>
                <w:sz w:val="20"/>
                <w:szCs w:val="20"/>
                <w:lang w:val="ru-RU"/>
              </w:rPr>
              <w:t>Табели 1</w:t>
            </w:r>
            <w:r w:rsidR="00544B75"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ru-RU"/>
              </w:rPr>
              <w:t xml:space="preserve"> наводећи дефиниције</w:t>
            </w:r>
            <w:r w:rsidR="00544B75"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ru-RU"/>
              </w:rPr>
              <w:t xml:space="preserve"> односно по</w:t>
            </w:r>
            <w:r w:rsidR="006816EB" w:rsidRPr="001B11AB">
              <w:rPr>
                <w:rFonts w:ascii="Times New Roman" w:hAnsi="Times New Roman" w:cs="Times New Roman"/>
                <w:i/>
                <w:sz w:val="20"/>
                <w:szCs w:val="20"/>
                <w:lang w:val="ru-RU"/>
              </w:rPr>
              <w:t>ткатегорије</w:t>
            </w:r>
            <w:r w:rsidRPr="001B11AB">
              <w:rPr>
                <w:rFonts w:ascii="Times New Roman" w:hAnsi="Times New Roman" w:cs="Times New Roman"/>
                <w:i/>
                <w:sz w:val="20"/>
                <w:szCs w:val="20"/>
                <w:lang w:val="ru-RU"/>
              </w:rPr>
              <w:t xml:space="preserve"> ризик</w:t>
            </w:r>
            <w:r w:rsidR="00093B08" w:rsidRPr="001B11AB">
              <w:rPr>
                <w:rFonts w:ascii="Times New Roman" w:hAnsi="Times New Roman" w:cs="Times New Roman"/>
                <w:i/>
                <w:sz w:val="20"/>
                <w:szCs w:val="20"/>
                <w:lang w:val="ru-RU"/>
              </w:rPr>
              <w:t>а</w:t>
            </w:r>
            <w:r w:rsidR="00544B75" w:rsidRPr="001B11AB">
              <w:rPr>
                <w:rFonts w:ascii="Times New Roman" w:hAnsi="Times New Roman" w:cs="Times New Roman"/>
                <w:i/>
                <w:sz w:val="20"/>
                <w:szCs w:val="20"/>
                <w:lang w:val="ru-RU"/>
              </w:rPr>
              <w:t>. Уз податке садржане у табели</w:t>
            </w:r>
            <w:r w:rsidRPr="001B11AB">
              <w:rPr>
                <w:rFonts w:ascii="Times New Roman" w:hAnsi="Times New Roman" w:cs="Times New Roman"/>
                <w:i/>
                <w:sz w:val="20"/>
                <w:szCs w:val="20"/>
                <w:lang w:val="ru-RU"/>
              </w:rPr>
              <w:t xml:space="preserve"> банка треба да јасно и прецизно опише начин и динамику, односно учесталост идентификовања, </w:t>
            </w:r>
            <w:r w:rsidR="00544B75" w:rsidRPr="001B11AB">
              <w:rPr>
                <w:rFonts w:ascii="Times New Roman" w:hAnsi="Times New Roman" w:cs="Times New Roman"/>
                <w:i/>
                <w:sz w:val="20"/>
                <w:szCs w:val="20"/>
                <w:lang w:val="ru-RU"/>
              </w:rPr>
              <w:t>тј.</w:t>
            </w:r>
            <w:r w:rsidRPr="001B11AB">
              <w:rPr>
                <w:rFonts w:ascii="Times New Roman" w:hAnsi="Times New Roman" w:cs="Times New Roman"/>
                <w:i/>
                <w:sz w:val="20"/>
                <w:szCs w:val="20"/>
                <w:lang w:val="ru-RU"/>
              </w:rPr>
              <w:t xml:space="preserve"> утврђивања ризика, наводећи интерне акте којима је дефинисала поступак утврђивања ризика, прилажући те акте и означавајући дијелове ак</w:t>
            </w:r>
            <w:r w:rsidR="00544B75" w:rsidRPr="001B11AB">
              <w:rPr>
                <w:rFonts w:ascii="Times New Roman" w:hAnsi="Times New Roman" w:cs="Times New Roman"/>
                <w:i/>
                <w:sz w:val="20"/>
                <w:szCs w:val="20"/>
                <w:lang w:val="ru-RU"/>
              </w:rPr>
              <w:t>а</w:t>
            </w:r>
            <w:r w:rsidRPr="001B11AB">
              <w:rPr>
                <w:rFonts w:ascii="Times New Roman" w:hAnsi="Times New Roman" w:cs="Times New Roman"/>
                <w:i/>
                <w:sz w:val="20"/>
                <w:szCs w:val="20"/>
                <w:lang w:val="ru-RU"/>
              </w:rPr>
              <w:t xml:space="preserve">та у којима је то дефинисано (при </w:t>
            </w:r>
            <w:r w:rsidR="004E03EA" w:rsidRPr="001B11AB">
              <w:rPr>
                <w:rFonts w:ascii="Times New Roman" w:hAnsi="Times New Roman" w:cs="Times New Roman"/>
                <w:i/>
                <w:sz w:val="20"/>
                <w:szCs w:val="20"/>
                <w:lang w:val="ru-RU"/>
              </w:rPr>
              <w:t>чему</w:t>
            </w:r>
            <w:r w:rsidRPr="001B11AB">
              <w:rPr>
                <w:rFonts w:ascii="Times New Roman" w:hAnsi="Times New Roman" w:cs="Times New Roman"/>
                <w:i/>
                <w:sz w:val="20"/>
                <w:szCs w:val="20"/>
                <w:lang w:val="ru-RU"/>
              </w:rPr>
              <w:t xml:space="preserve"> је потребно да успостави адекватну нумерацију приложене радне документације). </w:t>
            </w:r>
          </w:p>
          <w:p w14:paraId="1C5E8D28" w14:textId="52F1802A" w:rsidR="00EB131A" w:rsidRPr="001B11AB" w:rsidRDefault="004E03EA" w:rsidP="00897F23">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У вези са</w:t>
            </w:r>
            <w:r w:rsidR="00EB131A" w:rsidRPr="001B11AB">
              <w:rPr>
                <w:rFonts w:ascii="Times New Roman" w:hAnsi="Times New Roman" w:cs="Times New Roman"/>
                <w:i/>
                <w:sz w:val="20"/>
                <w:szCs w:val="20"/>
                <w:lang w:val="ru-RU"/>
              </w:rPr>
              <w:t xml:space="preserve"> позициј</w:t>
            </w:r>
            <w:r w:rsidRPr="001B11AB">
              <w:rPr>
                <w:rFonts w:ascii="Times New Roman" w:hAnsi="Times New Roman" w:cs="Times New Roman"/>
                <w:i/>
                <w:sz w:val="20"/>
                <w:szCs w:val="20"/>
                <w:lang w:val="ru-RU"/>
              </w:rPr>
              <w:t>ама</w:t>
            </w:r>
            <w:r w:rsidR="00EB131A" w:rsidRPr="001B11AB">
              <w:rPr>
                <w:rFonts w:ascii="Times New Roman" w:hAnsi="Times New Roman" w:cs="Times New Roman"/>
                <w:i/>
                <w:sz w:val="20"/>
                <w:szCs w:val="20"/>
                <w:lang w:val="ru-RU"/>
              </w:rPr>
              <w:t xml:space="preserve"> из овог </w:t>
            </w:r>
            <w:r w:rsidR="000B5651" w:rsidRPr="001B11AB">
              <w:rPr>
                <w:rFonts w:ascii="Times New Roman" w:hAnsi="Times New Roman" w:cs="Times New Roman"/>
                <w:i/>
                <w:sz w:val="20"/>
                <w:szCs w:val="20"/>
                <w:lang w:val="ru-RU"/>
              </w:rPr>
              <w:t>дијела</w:t>
            </w:r>
            <w:r w:rsidR="00EB131A" w:rsidRPr="001B11AB">
              <w:rPr>
                <w:rFonts w:ascii="Times New Roman" w:hAnsi="Times New Roman" w:cs="Times New Roman"/>
                <w:i/>
                <w:sz w:val="20"/>
                <w:szCs w:val="20"/>
                <w:lang w:val="ru-RU"/>
              </w:rPr>
              <w:t xml:space="preserve"> које се односе на ризични профил банке и утврђивање значајности ризика, банка треба да опише на који начин утврђује ризични профил и да приложи адекватну радну документацију која се односи на анализу ризичног профила банке на датум који одговара извјештајном датуму на који се Извјештај о ICAAP-у односи. Такође, </w:t>
            </w:r>
            <w:r w:rsidR="005203CE" w:rsidRPr="001B11AB">
              <w:rPr>
                <w:rFonts w:ascii="Times New Roman" w:hAnsi="Times New Roman" w:cs="Times New Roman"/>
                <w:i/>
                <w:sz w:val="20"/>
                <w:szCs w:val="20"/>
                <w:lang w:val="ru-RU"/>
              </w:rPr>
              <w:t>банка описује приступ који прим</w:t>
            </w:r>
            <w:r w:rsidR="00EB131A" w:rsidRPr="001B11AB">
              <w:rPr>
                <w:rFonts w:ascii="Times New Roman" w:hAnsi="Times New Roman" w:cs="Times New Roman"/>
                <w:i/>
                <w:sz w:val="20"/>
                <w:szCs w:val="20"/>
                <w:lang w:val="ru-RU"/>
              </w:rPr>
              <w:t xml:space="preserve">јењује приликом утврђивања значајности ризика, </w:t>
            </w:r>
            <w:r w:rsidR="005203CE" w:rsidRPr="001B11AB">
              <w:rPr>
                <w:rFonts w:ascii="Times New Roman" w:hAnsi="Times New Roman" w:cs="Times New Roman"/>
                <w:i/>
                <w:sz w:val="20"/>
                <w:szCs w:val="20"/>
                <w:lang w:val="ru-RU"/>
              </w:rPr>
              <w:t>тј.</w:t>
            </w:r>
            <w:r w:rsidR="00EB131A" w:rsidRPr="001B11AB">
              <w:rPr>
                <w:rFonts w:ascii="Times New Roman" w:hAnsi="Times New Roman" w:cs="Times New Roman"/>
                <w:i/>
                <w:sz w:val="20"/>
                <w:szCs w:val="20"/>
                <w:lang w:val="ru-RU"/>
              </w:rPr>
              <w:t xml:space="preserve"> наводи факторе које процјењује приликом утврђивања значајности ризика.</w:t>
            </w:r>
            <w:r w:rsidR="00D51513" w:rsidRPr="001B11AB">
              <w:rPr>
                <w:rFonts w:ascii="Times New Roman" w:hAnsi="Times New Roman" w:cs="Times New Roman"/>
                <w:i/>
                <w:sz w:val="20"/>
                <w:szCs w:val="20"/>
                <w:lang w:val="ru-RU"/>
              </w:rPr>
              <w:t xml:space="preserve"> </w:t>
            </w:r>
          </w:p>
          <w:p w14:paraId="7259FE8F" w14:textId="73018C84" w:rsidR="00EB131A" w:rsidRPr="001B11AB" w:rsidRDefault="00EB131A" w:rsidP="00897F23">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У </w:t>
            </w:r>
            <w:r w:rsidR="00A91766" w:rsidRPr="001B11AB">
              <w:rPr>
                <w:rFonts w:ascii="Times New Roman" w:hAnsi="Times New Roman" w:cs="Times New Roman"/>
                <w:i/>
                <w:sz w:val="20"/>
                <w:szCs w:val="20"/>
                <w:lang w:val="ru-RU"/>
              </w:rPr>
              <w:t>Т</w:t>
            </w:r>
            <w:r w:rsidR="00E92210" w:rsidRPr="001B11AB">
              <w:rPr>
                <w:rFonts w:ascii="Times New Roman" w:hAnsi="Times New Roman" w:cs="Times New Roman"/>
                <w:i/>
                <w:sz w:val="20"/>
                <w:szCs w:val="20"/>
                <w:lang w:val="ru-RU"/>
              </w:rPr>
              <w:t>абели 2</w:t>
            </w:r>
            <w:r w:rsidRPr="001B11AB">
              <w:rPr>
                <w:rFonts w:ascii="Times New Roman" w:hAnsi="Times New Roman" w:cs="Times New Roman"/>
                <w:i/>
                <w:sz w:val="20"/>
                <w:szCs w:val="20"/>
                <w:lang w:val="ru-RU"/>
              </w:rPr>
              <w:t xml:space="preserve"> банка наводи све значајне ризике које је утврдила, даје оцјену њихове значајности</w:t>
            </w:r>
            <w:r w:rsidR="005203CE"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ru-RU"/>
              </w:rPr>
              <w:t xml:space="preserve"> коју на адекватан начин образлаже, те начин на који је третирала сваки од знача</w:t>
            </w:r>
            <w:r w:rsidR="005203CE" w:rsidRPr="001B11AB">
              <w:rPr>
                <w:rFonts w:ascii="Times New Roman" w:hAnsi="Times New Roman" w:cs="Times New Roman"/>
                <w:i/>
                <w:sz w:val="20"/>
                <w:szCs w:val="20"/>
                <w:lang w:val="ru-RU"/>
              </w:rPr>
              <w:t>јних ризика у ICAAP-у. При томе</w:t>
            </w:r>
            <w:r w:rsidRPr="001B11AB">
              <w:rPr>
                <w:rFonts w:ascii="Times New Roman" w:hAnsi="Times New Roman" w:cs="Times New Roman"/>
                <w:i/>
                <w:sz w:val="20"/>
                <w:szCs w:val="20"/>
                <w:lang w:val="ru-RU"/>
              </w:rPr>
              <w:t xml:space="preserve"> није довољно попунити само табеларни преглед, него је у припадајућим позицијама Извјештаја о ICAAP-у у оквиру </w:t>
            </w:r>
            <w:r w:rsidR="00A91766" w:rsidRPr="001B11AB">
              <w:rPr>
                <w:rFonts w:ascii="Times New Roman" w:hAnsi="Times New Roman" w:cs="Times New Roman"/>
                <w:i/>
                <w:sz w:val="20"/>
                <w:szCs w:val="20"/>
                <w:lang w:val="ru-RU"/>
              </w:rPr>
              <w:t>дијела</w:t>
            </w:r>
            <w:r w:rsidRPr="001B11AB">
              <w:rPr>
                <w:rFonts w:ascii="Times New Roman" w:hAnsi="Times New Roman" w:cs="Times New Roman"/>
                <w:i/>
                <w:sz w:val="20"/>
                <w:szCs w:val="20"/>
                <w:lang w:val="ru-RU"/>
              </w:rPr>
              <w:t xml:space="preserve"> 4.2. потребно дати довољно детаља који описују третман за сваки од утврђених значајних ризика, а ниво детаљности треба да буде у складу са интерним актима банке и прим</w:t>
            </w:r>
            <w:r w:rsidR="005203CE" w:rsidRPr="001B11AB">
              <w:rPr>
                <w:rFonts w:ascii="Times New Roman" w:hAnsi="Times New Roman" w:cs="Times New Roman"/>
                <w:i/>
                <w:sz w:val="20"/>
                <w:szCs w:val="20"/>
                <w:lang w:val="ru-RU"/>
              </w:rPr>
              <w:t>и</w:t>
            </w:r>
            <w:r w:rsidRPr="001B11AB">
              <w:rPr>
                <w:rFonts w:ascii="Times New Roman" w:hAnsi="Times New Roman" w:cs="Times New Roman"/>
                <w:i/>
                <w:sz w:val="20"/>
                <w:szCs w:val="20"/>
                <w:lang w:val="ru-RU"/>
              </w:rPr>
              <w:t xml:space="preserve">јењеним методологијама, с једне стране, и потребама адекватног документовања и аргументовања приступа банке за потребе </w:t>
            </w:r>
            <w:r w:rsidR="00A91766" w:rsidRPr="001B11AB">
              <w:rPr>
                <w:rFonts w:ascii="Times New Roman" w:hAnsi="Times New Roman" w:cs="Times New Roman"/>
                <w:i/>
                <w:sz w:val="20"/>
                <w:szCs w:val="20"/>
                <w:lang w:val="ru-RU"/>
              </w:rPr>
              <w:t>надзорног</w:t>
            </w:r>
            <w:r w:rsidRPr="001B11AB">
              <w:rPr>
                <w:rFonts w:ascii="Times New Roman" w:hAnsi="Times New Roman" w:cs="Times New Roman"/>
                <w:i/>
                <w:sz w:val="20"/>
                <w:szCs w:val="20"/>
                <w:lang w:val="ru-RU"/>
              </w:rPr>
              <w:t xml:space="preserve"> прегледа и оцјене, односно потребама корисника овог извјештаја, с друге стране.</w:t>
            </w:r>
            <w:r w:rsidR="00D51513" w:rsidRPr="001B11AB">
              <w:rPr>
                <w:rFonts w:ascii="Times New Roman" w:hAnsi="Times New Roman" w:cs="Times New Roman"/>
                <w:i/>
                <w:sz w:val="20"/>
                <w:szCs w:val="20"/>
                <w:lang w:val="ru-RU"/>
              </w:rPr>
              <w:t xml:space="preserve"> </w:t>
            </w:r>
          </w:p>
          <w:p w14:paraId="0187BBA6" w14:textId="08128BF8" w:rsidR="00EB131A" w:rsidRPr="001B11AB" w:rsidRDefault="00EB131A" w:rsidP="005203CE">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 xml:space="preserve">У </w:t>
            </w:r>
            <w:r w:rsidR="00E92210" w:rsidRPr="001B11AB">
              <w:rPr>
                <w:rFonts w:ascii="Times New Roman" w:hAnsi="Times New Roman" w:cs="Times New Roman"/>
                <w:i/>
                <w:sz w:val="20"/>
                <w:szCs w:val="20"/>
                <w:lang w:val="ru-RU"/>
              </w:rPr>
              <w:t>Табели 3</w:t>
            </w:r>
            <w:r w:rsidRPr="001B11AB">
              <w:rPr>
                <w:rFonts w:ascii="Times New Roman" w:hAnsi="Times New Roman" w:cs="Times New Roman"/>
                <w:i/>
                <w:sz w:val="20"/>
                <w:szCs w:val="20"/>
                <w:lang w:val="ru-RU"/>
              </w:rPr>
              <w:t xml:space="preserve"> банка наводи ризике за које је утврдила да нису значајни, образл</w:t>
            </w:r>
            <w:r w:rsidR="005203CE" w:rsidRPr="001B11AB">
              <w:rPr>
                <w:rFonts w:ascii="Times New Roman" w:hAnsi="Times New Roman" w:cs="Times New Roman"/>
                <w:i/>
                <w:sz w:val="20"/>
                <w:szCs w:val="20"/>
                <w:lang w:val="ru-RU"/>
              </w:rPr>
              <w:t xml:space="preserve">ажући </w:t>
            </w:r>
            <w:r w:rsidRPr="001B11AB">
              <w:rPr>
                <w:rFonts w:ascii="Times New Roman" w:hAnsi="Times New Roman" w:cs="Times New Roman"/>
                <w:i/>
                <w:sz w:val="20"/>
                <w:szCs w:val="20"/>
                <w:lang w:val="ru-RU"/>
              </w:rPr>
              <w:t>разлог</w:t>
            </w:r>
            <w:r w:rsidR="005203CE" w:rsidRPr="001B11AB">
              <w:rPr>
                <w:rFonts w:ascii="Times New Roman" w:hAnsi="Times New Roman" w:cs="Times New Roman"/>
                <w:i/>
                <w:sz w:val="20"/>
                <w:szCs w:val="20"/>
                <w:lang w:val="ru-RU"/>
              </w:rPr>
              <w:t>е</w:t>
            </w:r>
            <w:r w:rsidRPr="001B11AB">
              <w:rPr>
                <w:rFonts w:ascii="Times New Roman" w:hAnsi="Times New Roman" w:cs="Times New Roman"/>
                <w:i/>
                <w:sz w:val="20"/>
                <w:szCs w:val="20"/>
                <w:lang w:val="ru-RU"/>
              </w:rPr>
              <w:t xml:space="preserve"> због којих сматра да изложеност тим ризицима није значајна, </w:t>
            </w:r>
            <w:r w:rsidR="005203CE" w:rsidRPr="001B11AB">
              <w:rPr>
                <w:rFonts w:ascii="Times New Roman" w:hAnsi="Times New Roman" w:cs="Times New Roman"/>
                <w:i/>
                <w:sz w:val="20"/>
                <w:szCs w:val="20"/>
                <w:lang w:val="ru-RU"/>
              </w:rPr>
              <w:t xml:space="preserve">чинећи то </w:t>
            </w:r>
            <w:r w:rsidRPr="001B11AB">
              <w:rPr>
                <w:rFonts w:ascii="Times New Roman" w:hAnsi="Times New Roman" w:cs="Times New Roman"/>
                <w:i/>
                <w:sz w:val="20"/>
                <w:szCs w:val="20"/>
                <w:lang w:val="ru-RU"/>
              </w:rPr>
              <w:t>на јасан, прецизан и довољно детаљан начин</w:t>
            </w:r>
            <w:r w:rsidR="005203CE" w:rsidRPr="001B11AB">
              <w:rPr>
                <w:rFonts w:ascii="Times New Roman" w:hAnsi="Times New Roman" w:cs="Times New Roman"/>
                <w:i/>
                <w:sz w:val="20"/>
                <w:szCs w:val="20"/>
                <w:lang w:val="ru-RU"/>
              </w:rPr>
              <w:t>, што</w:t>
            </w:r>
            <w:r w:rsidRPr="001B11AB">
              <w:rPr>
                <w:rFonts w:ascii="Times New Roman" w:hAnsi="Times New Roman" w:cs="Times New Roman"/>
                <w:i/>
                <w:sz w:val="20"/>
                <w:szCs w:val="20"/>
                <w:lang w:val="ru-RU"/>
              </w:rPr>
              <w:t xml:space="preserve"> за сваки од наведених ризика омогућава сагледавање да ли је приступ банке адекватан и заснован на прихватљивим аргументима.</w:t>
            </w:r>
          </w:p>
        </w:tc>
      </w:tr>
    </w:tbl>
    <w:p w14:paraId="78FF076E" w14:textId="77777777" w:rsidR="00EB131A" w:rsidRPr="001B11AB" w:rsidRDefault="00EB131A" w:rsidP="00897F23">
      <w:pPr>
        <w:spacing w:after="0" w:line="240" w:lineRule="auto"/>
        <w:rPr>
          <w:rFonts w:ascii="Times New Roman" w:hAnsi="Times New Roman" w:cs="Times New Roman"/>
          <w:lang w:val="sr-Cyrl-BA"/>
        </w:rPr>
        <w:sectPr w:rsidR="00EB131A" w:rsidRPr="001B11AB" w:rsidSect="006B46AF">
          <w:pgSz w:w="11909" w:h="16834" w:code="9"/>
          <w:pgMar w:top="1418" w:right="1418" w:bottom="1134" w:left="1418" w:header="510" w:footer="397" w:gutter="0"/>
          <w:cols w:space="708"/>
          <w:docGrid w:linePitch="360"/>
        </w:sectPr>
      </w:pPr>
    </w:p>
    <w:p w14:paraId="6ACD01FE" w14:textId="77777777" w:rsidR="00E740BB" w:rsidRPr="001B11AB" w:rsidRDefault="00E740BB" w:rsidP="00897F23">
      <w:pPr>
        <w:pStyle w:val="Heading2"/>
        <w:numPr>
          <w:ilvl w:val="0"/>
          <w:numId w:val="25"/>
        </w:numPr>
        <w:spacing w:before="0" w:line="240" w:lineRule="auto"/>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lastRenderedPageBreak/>
        <w:t xml:space="preserve">МЈЕРЕЊЕ/ПРОЦЈЕНА ЗНАЧАЈНИХ РИЗИКА И ОДРЕЂИВАЊЕ ИНТЕРНИХ КАПИТАЛНИХ ЗАХТЈЕВА (ПОСЕБНО ЗА СВАКИ РИЗИК) </w:t>
      </w:r>
    </w:p>
    <w:p w14:paraId="55D25101" w14:textId="77777777" w:rsidR="00E740BB" w:rsidRPr="001B11AB" w:rsidRDefault="00E740BB" w:rsidP="00897F23">
      <w:pPr>
        <w:spacing w:after="0" w:line="240" w:lineRule="auto"/>
        <w:rPr>
          <w:rFonts w:ascii="Times New Roman" w:hAnsi="Times New Roman" w:cs="Times New Roman"/>
          <w:lang w:val="ru-RU"/>
        </w:rPr>
      </w:pPr>
    </w:p>
    <w:tbl>
      <w:tblPr>
        <w:tblStyle w:val="TableGrid"/>
        <w:tblW w:w="9464" w:type="dxa"/>
        <w:tblLook w:val="04A0" w:firstRow="1" w:lastRow="0" w:firstColumn="1" w:lastColumn="0" w:noHBand="0" w:noVBand="1"/>
      </w:tblPr>
      <w:tblGrid>
        <w:gridCol w:w="4803"/>
        <w:gridCol w:w="4661"/>
      </w:tblGrid>
      <w:tr w:rsidR="005C6636" w:rsidRPr="001B11AB" w14:paraId="72634514" w14:textId="77777777" w:rsidTr="001824A7">
        <w:tc>
          <w:tcPr>
            <w:tcW w:w="9464" w:type="dxa"/>
            <w:gridSpan w:val="2"/>
            <w:tcBorders>
              <w:bottom w:val="single" w:sz="4" w:space="0" w:color="auto"/>
            </w:tcBorders>
            <w:shd w:val="clear" w:color="auto" w:fill="D9D9D9" w:themeFill="background1" w:themeFillShade="D9"/>
          </w:tcPr>
          <w:p w14:paraId="007A6437"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 xml:space="preserve">5.1. Методологија мјерења/процјене интерног капиталног захтјева за кредитни ризик </w:t>
            </w:r>
          </w:p>
        </w:tc>
      </w:tr>
      <w:tr w:rsidR="005C6636" w:rsidRPr="001B11AB" w14:paraId="4D0FF9D3" w14:textId="77777777" w:rsidTr="006F4726">
        <w:trPr>
          <w:trHeight w:val="288"/>
        </w:trPr>
        <w:tc>
          <w:tcPr>
            <w:tcW w:w="4803" w:type="dxa"/>
            <w:tcBorders>
              <w:bottom w:val="single" w:sz="4" w:space="0" w:color="auto"/>
            </w:tcBorders>
            <w:shd w:val="clear" w:color="auto" w:fill="auto"/>
          </w:tcPr>
          <w:p w14:paraId="655E0BD2" w14:textId="77777777" w:rsidR="00E740BB" w:rsidRPr="001B11AB" w:rsidRDefault="00E740BB" w:rsidP="00897F23">
            <w:pPr>
              <w:spacing w:after="60"/>
              <w:jc w:val="both"/>
              <w:rPr>
                <w:rFonts w:ascii="Times New Roman" w:hAnsi="Times New Roman" w:cs="Times New Roman"/>
                <w:sz w:val="20"/>
                <w:szCs w:val="20"/>
                <w:lang w:val="hr-BA"/>
              </w:rPr>
            </w:pPr>
            <w:r w:rsidRPr="001B11AB">
              <w:rPr>
                <w:rFonts w:ascii="Times New Roman" w:hAnsi="Times New Roman" w:cs="Times New Roman"/>
                <w:sz w:val="20"/>
                <w:szCs w:val="20"/>
                <w:lang w:val="ru-RU"/>
              </w:rPr>
              <w:t>Интерни капитални захтјев за кредитни ризик</w:t>
            </w:r>
          </w:p>
        </w:tc>
        <w:tc>
          <w:tcPr>
            <w:tcW w:w="4661" w:type="dxa"/>
            <w:tcBorders>
              <w:bottom w:val="single" w:sz="4" w:space="0" w:color="auto"/>
            </w:tcBorders>
            <w:shd w:val="clear" w:color="auto" w:fill="auto"/>
          </w:tcPr>
          <w:p w14:paraId="63F870E5"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sz w:val="20"/>
                <w:szCs w:val="20"/>
              </w:rPr>
              <w:t>Износ</w:t>
            </w:r>
            <w:r w:rsidR="00140495" w:rsidRPr="001B11AB">
              <w:rPr>
                <w:rFonts w:ascii="Times New Roman" w:hAnsi="Times New Roman" w:cs="Times New Roman"/>
                <w:sz w:val="20"/>
                <w:szCs w:val="20"/>
              </w:rPr>
              <w:t xml:space="preserve"> </w:t>
            </w:r>
            <w:r w:rsidRPr="001B11AB">
              <w:rPr>
                <w:rFonts w:ascii="Times New Roman" w:hAnsi="Times New Roman" w:cs="Times New Roman"/>
                <w:sz w:val="20"/>
                <w:szCs w:val="20"/>
              </w:rPr>
              <w:t>(</w:t>
            </w:r>
            <w:r w:rsidRPr="001B11AB">
              <w:rPr>
                <w:rFonts w:ascii="Times New Roman" w:hAnsi="Times New Roman" w:cs="Times New Roman"/>
                <w:i/>
                <w:sz w:val="20"/>
                <w:szCs w:val="20"/>
              </w:rPr>
              <w:t>у 000 КМ</w:t>
            </w:r>
            <w:r w:rsidRPr="001B11AB">
              <w:rPr>
                <w:rFonts w:ascii="Times New Roman" w:hAnsi="Times New Roman" w:cs="Times New Roman"/>
                <w:sz w:val="20"/>
                <w:szCs w:val="20"/>
              </w:rPr>
              <w:t>):</w:t>
            </w:r>
          </w:p>
        </w:tc>
      </w:tr>
      <w:tr w:rsidR="005C6636" w:rsidRPr="001B11AB" w14:paraId="2A006F38" w14:textId="77777777" w:rsidTr="001824A7">
        <w:tc>
          <w:tcPr>
            <w:tcW w:w="9464" w:type="dxa"/>
            <w:gridSpan w:val="2"/>
            <w:shd w:val="clear" w:color="auto" w:fill="D9D9D9" w:themeFill="background1" w:themeFillShade="D9"/>
          </w:tcPr>
          <w:p w14:paraId="78EFFE6C" w14:textId="5E764C1F" w:rsidR="00E740BB" w:rsidRPr="001B11AB" w:rsidRDefault="008E627A" w:rsidP="00897F23">
            <w:pPr>
              <w:pStyle w:val="ListParagraph"/>
              <w:numPr>
                <w:ilvl w:val="2"/>
                <w:numId w:val="25"/>
              </w:numPr>
              <w:spacing w:after="60"/>
              <w:ind w:left="426" w:hanging="426"/>
              <w:contextualSpacing w:val="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Банка примјењује ст</w:t>
            </w:r>
            <w:r w:rsidR="00E740BB" w:rsidRPr="001B11AB">
              <w:rPr>
                <w:rFonts w:ascii="Times New Roman" w:hAnsi="Times New Roman" w:cs="Times New Roman"/>
                <w:b/>
                <w:sz w:val="20"/>
                <w:szCs w:val="20"/>
                <w:lang w:val="ru-RU"/>
              </w:rPr>
              <w:t xml:space="preserve">андардизовани приступ за израчунавање капиталних захтјева за кредитни ризик </w:t>
            </w:r>
          </w:p>
        </w:tc>
      </w:tr>
      <w:tr w:rsidR="005C6636" w:rsidRPr="001B11AB" w14:paraId="34A01CE3" w14:textId="77777777" w:rsidTr="006F4726">
        <w:tc>
          <w:tcPr>
            <w:tcW w:w="9464" w:type="dxa"/>
            <w:gridSpan w:val="2"/>
            <w:shd w:val="clear" w:color="auto" w:fill="auto"/>
          </w:tcPr>
          <w:p w14:paraId="6DB78617" w14:textId="57C504B3" w:rsidR="00E740BB" w:rsidRPr="001B11AB" w:rsidRDefault="00E740BB" w:rsidP="00897F23">
            <w:pPr>
              <w:spacing w:after="60"/>
              <w:jc w:val="both"/>
              <w:rPr>
                <w:rFonts w:ascii="Times New Roman" w:hAnsi="Times New Roman" w:cs="Times New Roman"/>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разлоге због којих се опредијелила да за рачунање интерног капиталног захтјева користи приступ који већ користи за израчунавање минималних капиталних захтјева за кредитни ризик</w:t>
            </w:r>
            <w:r w:rsidR="00F023BA"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у складу са одредбама Одлуке о израчунавању капитала банака.]</w:t>
            </w:r>
          </w:p>
        </w:tc>
      </w:tr>
      <w:tr w:rsidR="005C6636" w:rsidRPr="001B11AB" w14:paraId="59D42B40" w14:textId="77777777" w:rsidTr="006F4726">
        <w:tc>
          <w:tcPr>
            <w:tcW w:w="9464" w:type="dxa"/>
            <w:gridSpan w:val="2"/>
            <w:shd w:val="clear" w:color="auto" w:fill="auto"/>
          </w:tcPr>
          <w:p w14:paraId="7D81061B"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Уколико је примјењиво, банка образлаже процјену могуће потцијењености кредитног ризика због примјене стандардизованог приступа.]</w:t>
            </w:r>
          </w:p>
        </w:tc>
      </w:tr>
      <w:tr w:rsidR="005C6636" w:rsidRPr="001B11AB" w14:paraId="075D9384" w14:textId="77777777" w:rsidTr="001824A7">
        <w:tc>
          <w:tcPr>
            <w:tcW w:w="9464" w:type="dxa"/>
            <w:gridSpan w:val="2"/>
            <w:shd w:val="clear" w:color="auto" w:fill="D9D9D9" w:themeFill="background1" w:themeFillShade="D9"/>
          </w:tcPr>
          <w:p w14:paraId="3B8C1064" w14:textId="77777777" w:rsidR="00E740BB" w:rsidRPr="001B11AB" w:rsidRDefault="00E740BB" w:rsidP="00897F23">
            <w:pPr>
              <w:pStyle w:val="ListParagraph"/>
              <w:widowControl w:val="0"/>
              <w:numPr>
                <w:ilvl w:val="2"/>
                <w:numId w:val="25"/>
              </w:numPr>
              <w:overflowPunct w:val="0"/>
              <w:autoSpaceDE w:val="0"/>
              <w:autoSpaceDN w:val="0"/>
              <w:adjustRightInd w:val="0"/>
              <w:spacing w:after="60"/>
              <w:ind w:left="426" w:hanging="426"/>
              <w:contextualSpacing w:val="0"/>
              <w:jc w:val="both"/>
              <w:rPr>
                <w:rFonts w:ascii="Times New Roman" w:hAnsi="Times New Roman" w:cs="Times New Roman"/>
                <w:b/>
                <w:sz w:val="20"/>
                <w:szCs w:val="20"/>
                <w:lang w:val="ru-RU"/>
              </w:rPr>
            </w:pPr>
            <w:r w:rsidRPr="001B11AB">
              <w:rPr>
                <w:rFonts w:ascii="Times New Roman" w:hAnsi="Times New Roman" w:cs="Times New Roman"/>
                <w:b/>
                <w:bCs/>
                <w:sz w:val="20"/>
                <w:szCs w:val="20"/>
                <w:lang w:val="ru-RU"/>
              </w:rPr>
              <w:t>Банка је прилагодила стандардизовани приступ за израчунавање капиталних захтјева за кредитни ризик или користи властите приступе</w:t>
            </w:r>
          </w:p>
        </w:tc>
      </w:tr>
      <w:tr w:rsidR="005C6636" w:rsidRPr="001B11AB" w14:paraId="50A1C4DC" w14:textId="77777777" w:rsidTr="006F4726">
        <w:tc>
          <w:tcPr>
            <w:tcW w:w="9464" w:type="dxa"/>
            <w:gridSpan w:val="2"/>
            <w:shd w:val="clear" w:color="auto" w:fill="auto"/>
          </w:tcPr>
          <w:p w14:paraId="2BF0D17F" w14:textId="6625F0EE"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w:t>
            </w:r>
            <w:r w:rsidR="00A9422D" w:rsidRPr="001B11AB">
              <w:rPr>
                <w:rFonts w:ascii="Times New Roman" w:hAnsi="Times New Roman" w:cs="Times New Roman"/>
                <w:i/>
                <w:sz w:val="20"/>
                <w:szCs w:val="20"/>
                <w:lang w:val="sr-Cyrl-CS"/>
              </w:rPr>
              <w:t>нка наводи који приступ користи</w:t>
            </w:r>
            <w:r w:rsidRPr="001B11AB">
              <w:rPr>
                <w:rFonts w:ascii="Times New Roman" w:hAnsi="Times New Roman" w:cs="Times New Roman"/>
                <w:i/>
                <w:sz w:val="20"/>
                <w:szCs w:val="20"/>
                <w:lang w:val="sr-Cyrl-CS"/>
              </w:rPr>
              <w:t xml:space="preserve"> те образлаже разлоге за избор тог приступа.]</w:t>
            </w:r>
          </w:p>
        </w:tc>
      </w:tr>
      <w:tr w:rsidR="005C6636" w:rsidRPr="001B11AB" w14:paraId="4212C9EC" w14:textId="77777777" w:rsidTr="006F4726">
        <w:tc>
          <w:tcPr>
            <w:tcW w:w="9464" w:type="dxa"/>
            <w:gridSpan w:val="2"/>
            <w:shd w:val="clear" w:color="auto" w:fill="auto"/>
          </w:tcPr>
          <w:p w14:paraId="690A0FF3"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објашњава методологију и претпоставке на којима се заснива методологија за израчунавање интерних капиталних захтјева. У случају употребе модификованог стандардизованог приступа за израчунавање интерних капиталних захтјева, акценат се ставља на опис разлика у односу на стандардизовани приступ прописан Одлуком о израчунавању капитала банака.</w:t>
            </w:r>
            <w:r w:rsidRPr="001B11AB">
              <w:rPr>
                <w:rFonts w:ascii="Times New Roman" w:hAnsi="Times New Roman" w:cs="Times New Roman"/>
                <w:i/>
                <w:sz w:val="20"/>
                <w:szCs w:val="20"/>
                <w:lang w:val="ru-RU"/>
              </w:rPr>
              <w:t>]</w:t>
            </w:r>
          </w:p>
        </w:tc>
      </w:tr>
      <w:tr w:rsidR="005C6636" w:rsidRPr="001B11AB" w14:paraId="5C234BFC" w14:textId="77777777" w:rsidTr="006F4726">
        <w:tc>
          <w:tcPr>
            <w:tcW w:w="9464" w:type="dxa"/>
            <w:gridSpan w:val="2"/>
            <w:shd w:val="clear" w:color="auto" w:fill="auto"/>
          </w:tcPr>
          <w:p w14:paraId="65D94B1C" w14:textId="59CF24C8" w:rsidR="00E740BB" w:rsidRPr="001B11AB" w:rsidRDefault="00E740BB" w:rsidP="00A9422D">
            <w:pPr>
              <w:widowControl w:val="0"/>
              <w:overflowPunct w:val="0"/>
              <w:autoSpaceDE w:val="0"/>
              <w:autoSpaceDN w:val="0"/>
              <w:adjustRightInd w:val="0"/>
              <w:spacing w:after="60"/>
              <w:jc w:val="both"/>
              <w:rPr>
                <w:rFonts w:ascii="Times New Roman" w:hAnsi="Times New Roman" w:cs="Times New Roman"/>
                <w:sz w:val="20"/>
                <w:szCs w:val="20"/>
                <w:lang w:val="sr-Cyrl-CS"/>
              </w:rPr>
            </w:pPr>
            <w:r w:rsidRPr="001B11AB">
              <w:rPr>
                <w:rFonts w:ascii="Times New Roman" w:hAnsi="Times New Roman" w:cs="Times New Roman"/>
                <w:i/>
                <w:sz w:val="20"/>
                <w:szCs w:val="20"/>
                <w:lang w:val="sr-Cyrl-CS"/>
              </w:rPr>
              <w:t xml:space="preserve">[Банка објашњава анализу изложености </w:t>
            </w:r>
            <w:r w:rsidR="00A9422D" w:rsidRPr="001B11AB">
              <w:rPr>
                <w:rFonts w:ascii="Times New Roman" w:hAnsi="Times New Roman" w:cs="Times New Roman"/>
                <w:i/>
                <w:sz w:val="20"/>
                <w:szCs w:val="20"/>
                <w:lang w:val="sr-Cyrl-CS"/>
              </w:rPr>
              <w:t>ризицима</w:t>
            </w:r>
            <w:r w:rsidRPr="001B11AB">
              <w:rPr>
                <w:rFonts w:ascii="Times New Roman" w:hAnsi="Times New Roman" w:cs="Times New Roman"/>
                <w:i/>
                <w:sz w:val="20"/>
                <w:szCs w:val="20"/>
                <w:lang w:val="sr-Cyrl-CS"/>
              </w:rPr>
              <w:t xml:space="preserve"> који су повезани са кредитним ризиком (нпр. резидуални ризик, ризик државе и слично, те, уколико је примјењиво, наводи припадајући износ интерног капиталног захтјева посебно за сваки ризик који је укључен у укупни интерни капитални захтјев за кредитни ризик.]</w:t>
            </w:r>
            <w:r w:rsidRPr="001B11AB">
              <w:rPr>
                <w:rFonts w:ascii="Times New Roman" w:hAnsi="Times New Roman" w:cs="Times New Roman"/>
                <w:sz w:val="20"/>
                <w:szCs w:val="20"/>
                <w:lang w:val="sr-Cyrl-CS"/>
              </w:rPr>
              <w:t xml:space="preserve"> </w:t>
            </w:r>
          </w:p>
        </w:tc>
      </w:tr>
      <w:tr w:rsidR="005C6636" w:rsidRPr="001B11AB" w14:paraId="5BBC09CE" w14:textId="77777777" w:rsidTr="006F4726">
        <w:tc>
          <w:tcPr>
            <w:tcW w:w="9464" w:type="dxa"/>
            <w:gridSpan w:val="2"/>
            <w:shd w:val="clear" w:color="auto" w:fill="auto"/>
          </w:tcPr>
          <w:p w14:paraId="5126E214"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sr-Cyrl-CS"/>
              </w:rPr>
            </w:pPr>
            <w:r w:rsidRPr="001B11AB">
              <w:rPr>
                <w:rFonts w:ascii="Times New Roman" w:hAnsi="Times New Roman" w:cs="Times New Roman"/>
                <w:i/>
                <w:sz w:val="20"/>
                <w:szCs w:val="20"/>
                <w:lang w:val="sr-Cyrl-CS"/>
              </w:rPr>
              <w:t>[Банка наводи интерне акте којима је детаљно прописана методологија процјене интерних капиталних захтјева за кредитни ризик.]</w:t>
            </w:r>
          </w:p>
        </w:tc>
      </w:tr>
      <w:tr w:rsidR="005C6636" w:rsidRPr="001B11AB" w14:paraId="0C5DB0F3" w14:textId="77777777" w:rsidTr="001824A7">
        <w:tc>
          <w:tcPr>
            <w:tcW w:w="9464" w:type="dxa"/>
            <w:gridSpan w:val="2"/>
            <w:shd w:val="clear" w:color="auto" w:fill="D9D9D9" w:themeFill="background1" w:themeFillShade="D9"/>
          </w:tcPr>
          <w:p w14:paraId="57D11D4B" w14:textId="77777777" w:rsidR="00E740BB" w:rsidRPr="001B11AB" w:rsidRDefault="00E740BB" w:rsidP="00897F23">
            <w:pPr>
              <w:pStyle w:val="ListParagraph"/>
              <w:widowControl w:val="0"/>
              <w:numPr>
                <w:ilvl w:val="2"/>
                <w:numId w:val="25"/>
              </w:numPr>
              <w:tabs>
                <w:tab w:val="left" w:pos="567"/>
              </w:tabs>
              <w:overflowPunct w:val="0"/>
              <w:autoSpaceDE w:val="0"/>
              <w:autoSpaceDN w:val="0"/>
              <w:adjustRightInd w:val="0"/>
              <w:spacing w:after="60"/>
              <w:ind w:left="0" w:firstLine="0"/>
              <w:contextualSpacing w:val="0"/>
              <w:jc w:val="both"/>
              <w:rPr>
                <w:rFonts w:ascii="Times New Roman" w:hAnsi="Times New Roman" w:cs="Times New Roman"/>
                <w:b/>
                <w:sz w:val="20"/>
                <w:szCs w:val="20"/>
                <w:lang w:val="sr-Cyrl-CS"/>
              </w:rPr>
            </w:pPr>
            <w:r w:rsidRPr="001B11AB">
              <w:rPr>
                <w:rFonts w:ascii="Times New Roman" w:hAnsi="Times New Roman" w:cs="Times New Roman"/>
                <w:b/>
                <w:sz w:val="20"/>
                <w:szCs w:val="20"/>
                <w:lang w:val="sr-Cyrl-CS"/>
              </w:rPr>
              <w:t>Приликом израчунавања интерних капиталних захтјева за кредитни ризик потребно је укључити процјену засновану на резултатима стрес тестирања, те детаљно описати методологију претпоставке и начин израчунавања.</w:t>
            </w:r>
            <w:r w:rsidR="00D51513" w:rsidRPr="001B11AB">
              <w:rPr>
                <w:rFonts w:ascii="Times New Roman" w:hAnsi="Times New Roman" w:cs="Times New Roman"/>
                <w:b/>
                <w:sz w:val="20"/>
                <w:szCs w:val="20"/>
                <w:lang w:val="sr-Cyrl-CS"/>
              </w:rPr>
              <w:t xml:space="preserve"> </w:t>
            </w:r>
          </w:p>
        </w:tc>
      </w:tr>
      <w:tr w:rsidR="005C6636" w:rsidRPr="001B11AB" w14:paraId="18568A34" w14:textId="77777777" w:rsidTr="00E92210">
        <w:tc>
          <w:tcPr>
            <w:tcW w:w="9464" w:type="dxa"/>
            <w:gridSpan w:val="2"/>
            <w:shd w:val="clear" w:color="auto" w:fill="F2F2F2" w:themeFill="background1" w:themeFillShade="F2"/>
          </w:tcPr>
          <w:p w14:paraId="015A0092" w14:textId="7A7B7AC7" w:rsidR="00D137B4" w:rsidRPr="001B11AB" w:rsidRDefault="00D137B4"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b/>
                <w:i/>
                <w:sz w:val="20"/>
                <w:szCs w:val="20"/>
                <w:lang w:val="sr-Cyrl-CS"/>
              </w:rPr>
              <w:t>Напомена:</w:t>
            </w:r>
            <w:r w:rsidRPr="001B11AB">
              <w:rPr>
                <w:rFonts w:ascii="Times New Roman" w:hAnsi="Times New Roman" w:cs="Times New Roman"/>
                <w:i/>
                <w:sz w:val="20"/>
                <w:szCs w:val="20"/>
                <w:lang w:val="sr-Cyrl-CS"/>
              </w:rPr>
              <w:t xml:space="preserve"> </w:t>
            </w:r>
            <w:r w:rsidR="00A9422D" w:rsidRPr="001B11AB">
              <w:rPr>
                <w:rFonts w:ascii="Times New Roman" w:hAnsi="Times New Roman" w:cs="Times New Roman"/>
                <w:i/>
                <w:sz w:val="20"/>
                <w:szCs w:val="20"/>
                <w:lang w:val="sr-Cyrl-CS"/>
              </w:rPr>
              <w:t>Б</w:t>
            </w:r>
            <w:r w:rsidRPr="001B11AB">
              <w:rPr>
                <w:rFonts w:ascii="Times New Roman" w:hAnsi="Times New Roman" w:cs="Times New Roman"/>
                <w:i/>
                <w:sz w:val="20"/>
                <w:szCs w:val="20"/>
                <w:lang w:val="sr-Cyrl-CS"/>
              </w:rPr>
              <w:t>анка приликом избора приступа који користи за израчунавање интерних капиталних захтјева за кредитни ризик треба да процијени колико је тај приступ примјерен за потребе ICAAP-а с обзиром на ниво, структуру и природу њене изложености кредитном ризику, доносећи разуман и адекватан суд да ли је у сегменту кредитног ризика изложена ризицима/</w:t>
            </w:r>
            <w:r w:rsidR="00EB38CB"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по</w:t>
            </w:r>
            <w:r w:rsidR="00EB38CB" w:rsidRPr="001B11AB">
              <w:rPr>
                <w:rFonts w:ascii="Times New Roman" w:hAnsi="Times New Roman" w:cs="Times New Roman"/>
                <w:i/>
                <w:sz w:val="20"/>
                <w:szCs w:val="20"/>
                <w:lang w:val="sr-Cyrl-CS"/>
              </w:rPr>
              <w:t>т</w:t>
            </w:r>
            <w:r w:rsidRPr="001B11AB">
              <w:rPr>
                <w:rFonts w:ascii="Times New Roman" w:hAnsi="Times New Roman" w:cs="Times New Roman"/>
                <w:i/>
                <w:sz w:val="20"/>
                <w:szCs w:val="20"/>
                <w:lang w:val="sr-Cyrl-CS"/>
              </w:rPr>
              <w:t>категоријама ризика/</w:t>
            </w:r>
            <w:r w:rsidR="00EB38CB"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факторима ризика који нису адекватно или довољно покривени приликом израчунавања минималних капиталних захтјева за кредитни ризик, прије свега водећи рачуна о преосталом/</w:t>
            </w:r>
            <w:r w:rsidR="00EB38CB" w:rsidRPr="001B11AB">
              <w:rPr>
                <w:rFonts w:ascii="Times New Roman" w:hAnsi="Times New Roman" w:cs="Times New Roman"/>
                <w:i/>
                <w:sz w:val="20"/>
                <w:szCs w:val="20"/>
                <w:lang w:val="sr-Cyrl-CS"/>
              </w:rPr>
              <w:t xml:space="preserve"> </w:t>
            </w:r>
            <w:r w:rsidRPr="001B11AB">
              <w:rPr>
                <w:rFonts w:ascii="Times New Roman" w:hAnsi="Times New Roman" w:cs="Times New Roman"/>
                <w:i/>
                <w:sz w:val="20"/>
                <w:szCs w:val="20"/>
                <w:lang w:val="sr-Cyrl-CS"/>
              </w:rPr>
              <w:t>резидуалном ризику</w:t>
            </w:r>
            <w:r w:rsidR="00EB38CB"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који се везује уз употребу признате кредитне заштите, потенцијалном повећању изложености кредитном ризику, растућим факторима ризика који се директно или индиректно могу рефлектовати кроз повећану изложеност ризику и др. Ако постоји било који од разлога који банку наводе на закључак да изложеност предметном ризику није на адекватан начин покривена минималним капиталним захтјевима, она мора адекватно израчунати интерне капиталне захтјеве за кредитни ризик. </w:t>
            </w:r>
          </w:p>
          <w:p w14:paraId="74D48D8B" w14:textId="77777777" w:rsidR="00D137B4" w:rsidRPr="001B11AB" w:rsidRDefault="00D137B4"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 xml:space="preserve">Уколико банка може на задовољавајући начин аргументовати и документовати да нема потребе за додатним интерним капиталним захтјевима у односу на минималне капиталне захтјеве, може остати при приступу који је користила приликом израчунавања минималних капиталних захтјева (стандардизовани приступ). </w:t>
            </w:r>
          </w:p>
          <w:p w14:paraId="194709A8" w14:textId="0B7168A2" w:rsidR="00D137B4" w:rsidRPr="001B11AB" w:rsidRDefault="00D137B4"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 xml:space="preserve">Уколико банка у оквиру ICAAP-а користи прилагођени приступ за израчунавање интерних капиталних захтјева за кредитни ризик, </w:t>
            </w:r>
            <w:r w:rsidR="00EB38CB" w:rsidRPr="001B11AB">
              <w:rPr>
                <w:rFonts w:ascii="Times New Roman" w:hAnsi="Times New Roman" w:cs="Times New Roman"/>
                <w:i/>
                <w:sz w:val="20"/>
                <w:szCs w:val="20"/>
                <w:lang w:val="sr-Cyrl-CS"/>
              </w:rPr>
              <w:t>тј.</w:t>
            </w:r>
            <w:r w:rsidRPr="001B11AB">
              <w:rPr>
                <w:rFonts w:ascii="Times New Roman" w:hAnsi="Times New Roman" w:cs="Times New Roman"/>
                <w:i/>
                <w:sz w:val="20"/>
                <w:szCs w:val="20"/>
                <w:lang w:val="sr-Cyrl-CS"/>
              </w:rPr>
              <w:t xml:space="preserve"> властиту методологију, банка мора детаљно навести задовољавајућу аргументацију за извршена прилагођавања или кориш</w:t>
            </w:r>
            <w:r w:rsidR="00DD11A3" w:rsidRPr="001B11AB">
              <w:rPr>
                <w:rFonts w:ascii="Times New Roman" w:hAnsi="Times New Roman" w:cs="Times New Roman"/>
                <w:i/>
                <w:sz w:val="20"/>
                <w:szCs w:val="20"/>
                <w:lang w:val="sr-Cyrl-CS"/>
              </w:rPr>
              <w:t>ћ</w:t>
            </w:r>
            <w:r w:rsidRPr="001B11AB">
              <w:rPr>
                <w:rFonts w:ascii="Times New Roman" w:hAnsi="Times New Roman" w:cs="Times New Roman"/>
                <w:i/>
                <w:sz w:val="20"/>
                <w:szCs w:val="20"/>
                <w:lang w:val="sr-Cyrl-CS"/>
              </w:rPr>
              <w:t xml:space="preserve">ење властите методологије. </w:t>
            </w:r>
          </w:p>
          <w:p w14:paraId="554A304C" w14:textId="77777777" w:rsidR="00D137B4" w:rsidRPr="001B11AB" w:rsidRDefault="00D137B4"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 xml:space="preserve">Ниво детаљности аргументације коју банка треба навести и документовати треба бити сразмјеран нивоу разлика између приступа који се користи за израчунавање минималних капиталних захтјева и приступа који се користи за израчунавање интерних капиталних захтјева. </w:t>
            </w:r>
          </w:p>
          <w:p w14:paraId="1A2BAB47" w14:textId="17A37F13" w:rsidR="00D137B4" w:rsidRPr="001B11AB" w:rsidRDefault="00D137B4" w:rsidP="00EB38CB">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Приликом избора властите методологије за мјерење/ процјену интерних капиталних захтјева за кредитни ризик банка није ограничена сложеношћу приступа који се користи за израчунавање капиталних захтјева за кредитни ризик</w:t>
            </w:r>
            <w:r w:rsidR="00EB38CB" w:rsidRPr="001B11AB">
              <w:rPr>
                <w:rFonts w:ascii="Times New Roman" w:hAnsi="Times New Roman" w:cs="Times New Roman"/>
                <w:i/>
                <w:sz w:val="20"/>
                <w:szCs w:val="20"/>
                <w:lang w:val="sr-Cyrl-CS"/>
              </w:rPr>
              <w:t>. Т</w:t>
            </w:r>
            <w:r w:rsidRPr="001B11AB">
              <w:rPr>
                <w:rFonts w:ascii="Times New Roman" w:hAnsi="Times New Roman" w:cs="Times New Roman"/>
                <w:i/>
                <w:sz w:val="20"/>
                <w:szCs w:val="20"/>
                <w:lang w:val="sr-Cyrl-CS"/>
              </w:rPr>
              <w:t>ако</w:t>
            </w:r>
            <w:r w:rsidR="00EB38CB"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нпр.</w:t>
            </w:r>
            <w:r w:rsidR="00EB38CB"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иако банка користи стандардизовани приступ за израчунавање капиталних захтјева за кредитни ризик </w:t>
            </w:r>
            <w:r w:rsidR="00EB38CB" w:rsidRPr="001B11AB">
              <w:rPr>
                <w:rFonts w:ascii="Times New Roman" w:hAnsi="Times New Roman" w:cs="Times New Roman"/>
                <w:i/>
                <w:sz w:val="20"/>
                <w:szCs w:val="20"/>
                <w:lang w:val="sr-Cyrl-CS"/>
              </w:rPr>
              <w:t>при</w:t>
            </w:r>
            <w:r w:rsidRPr="001B11AB">
              <w:rPr>
                <w:rFonts w:ascii="Times New Roman" w:hAnsi="Times New Roman" w:cs="Times New Roman"/>
                <w:i/>
                <w:sz w:val="20"/>
                <w:szCs w:val="20"/>
                <w:lang w:val="sr-Cyrl-CS"/>
              </w:rPr>
              <w:t xml:space="preserve"> израчунавањ</w:t>
            </w:r>
            <w:r w:rsidR="00EB38CB" w:rsidRPr="001B11AB">
              <w:rPr>
                <w:rFonts w:ascii="Times New Roman" w:hAnsi="Times New Roman" w:cs="Times New Roman"/>
                <w:i/>
                <w:sz w:val="20"/>
                <w:szCs w:val="20"/>
                <w:lang w:val="sr-Cyrl-CS"/>
              </w:rPr>
              <w:t>у</w:t>
            </w:r>
            <w:r w:rsidRPr="001B11AB">
              <w:rPr>
                <w:rFonts w:ascii="Times New Roman" w:hAnsi="Times New Roman" w:cs="Times New Roman"/>
                <w:i/>
                <w:sz w:val="20"/>
                <w:szCs w:val="20"/>
                <w:lang w:val="sr-Cyrl-CS"/>
              </w:rPr>
              <w:t xml:space="preserve"> минималних капиталних захтјева, може користити напредније приступе, </w:t>
            </w:r>
            <w:r w:rsidR="00EB38CB" w:rsidRPr="001B11AB">
              <w:rPr>
                <w:rFonts w:ascii="Times New Roman" w:hAnsi="Times New Roman" w:cs="Times New Roman"/>
                <w:i/>
                <w:sz w:val="20"/>
                <w:szCs w:val="20"/>
                <w:lang w:val="sr-Cyrl-CS"/>
              </w:rPr>
              <w:t>тј.</w:t>
            </w:r>
            <w:r w:rsidRPr="001B11AB">
              <w:rPr>
                <w:rFonts w:ascii="Times New Roman" w:hAnsi="Times New Roman" w:cs="Times New Roman"/>
                <w:i/>
                <w:sz w:val="20"/>
                <w:szCs w:val="20"/>
                <w:lang w:val="sr-Cyrl-CS"/>
              </w:rPr>
              <w:t xml:space="preserve"> властиту методологију за израчунавање интерних капиталних захтјева за кредитни ризик за цијели или дио портфоли</w:t>
            </w:r>
            <w:r w:rsidR="006C44CF" w:rsidRPr="001B11AB">
              <w:rPr>
                <w:rFonts w:ascii="Times New Roman" w:hAnsi="Times New Roman" w:cs="Times New Roman"/>
                <w:i/>
                <w:sz w:val="20"/>
                <w:szCs w:val="20"/>
                <w:lang w:val="sr-Cyrl-CS"/>
              </w:rPr>
              <w:t>ј</w:t>
            </w:r>
            <w:r w:rsidRPr="001B11AB">
              <w:rPr>
                <w:rFonts w:ascii="Times New Roman" w:hAnsi="Times New Roman" w:cs="Times New Roman"/>
                <w:i/>
                <w:sz w:val="20"/>
                <w:szCs w:val="20"/>
                <w:lang w:val="sr-Cyrl-CS"/>
              </w:rPr>
              <w:t>а за који је успоставила поуздан систем управљања и одређивање рејтинга изложености које произилазе из кредитног ризика или када утврди да би примјена стандардиз</w:t>
            </w:r>
            <w:r w:rsidR="00093B08" w:rsidRPr="001B11AB">
              <w:rPr>
                <w:rFonts w:ascii="Times New Roman" w:hAnsi="Times New Roman" w:cs="Times New Roman"/>
                <w:i/>
                <w:sz w:val="20"/>
                <w:szCs w:val="20"/>
                <w:lang w:val="sr-Cyrl-CS"/>
              </w:rPr>
              <w:t>ов</w:t>
            </w:r>
            <w:r w:rsidRPr="001B11AB">
              <w:rPr>
                <w:rFonts w:ascii="Times New Roman" w:hAnsi="Times New Roman" w:cs="Times New Roman"/>
                <w:i/>
                <w:sz w:val="20"/>
                <w:szCs w:val="20"/>
                <w:lang w:val="sr-Cyrl-CS"/>
              </w:rPr>
              <w:t xml:space="preserve">аног приступа могла довести до </w:t>
            </w:r>
            <w:bookmarkStart w:id="1" w:name="_Hlk41290524"/>
            <w:r w:rsidRPr="001B11AB">
              <w:rPr>
                <w:rFonts w:ascii="Times New Roman" w:hAnsi="Times New Roman" w:cs="Times New Roman"/>
                <w:i/>
                <w:sz w:val="20"/>
                <w:szCs w:val="20"/>
                <w:lang w:val="sr-Cyrl-CS"/>
              </w:rPr>
              <w:t xml:space="preserve">потцијењености </w:t>
            </w:r>
            <w:bookmarkEnd w:id="1"/>
            <w:r w:rsidRPr="001B11AB">
              <w:rPr>
                <w:rFonts w:ascii="Times New Roman" w:hAnsi="Times New Roman" w:cs="Times New Roman"/>
                <w:i/>
                <w:sz w:val="20"/>
                <w:szCs w:val="20"/>
                <w:lang w:val="sr-Cyrl-CS"/>
              </w:rPr>
              <w:t>интерних капиталних захтјева.</w:t>
            </w:r>
          </w:p>
        </w:tc>
      </w:tr>
    </w:tbl>
    <w:p w14:paraId="4B00A456" w14:textId="77777777" w:rsidR="00E740BB" w:rsidRPr="001B11AB" w:rsidRDefault="00E740BB" w:rsidP="00897F23">
      <w:pPr>
        <w:spacing w:after="0" w:line="240" w:lineRule="auto"/>
        <w:jc w:val="both"/>
        <w:rPr>
          <w:rFonts w:ascii="Times New Roman" w:hAnsi="Times New Roman" w:cs="Times New Roman"/>
          <w:sz w:val="20"/>
          <w:szCs w:val="20"/>
          <w:lang w:val="hr-HR"/>
        </w:rPr>
      </w:pPr>
    </w:p>
    <w:tbl>
      <w:tblPr>
        <w:tblStyle w:val="TableGrid"/>
        <w:tblW w:w="9464" w:type="dxa"/>
        <w:tblLook w:val="04A0" w:firstRow="1" w:lastRow="0" w:firstColumn="1" w:lastColumn="0" w:noHBand="0" w:noVBand="1"/>
      </w:tblPr>
      <w:tblGrid>
        <w:gridCol w:w="4803"/>
        <w:gridCol w:w="4661"/>
      </w:tblGrid>
      <w:tr w:rsidR="005C6636" w:rsidRPr="001B11AB" w14:paraId="006DC8E3" w14:textId="77777777" w:rsidTr="001824A7">
        <w:tc>
          <w:tcPr>
            <w:tcW w:w="9464" w:type="dxa"/>
            <w:gridSpan w:val="2"/>
            <w:tcBorders>
              <w:bottom w:val="single" w:sz="4" w:space="0" w:color="auto"/>
            </w:tcBorders>
            <w:shd w:val="clear" w:color="auto" w:fill="D9D9D9" w:themeFill="background1" w:themeFillShade="D9"/>
          </w:tcPr>
          <w:p w14:paraId="72AD60F7" w14:textId="1862B635"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lastRenderedPageBreak/>
              <w:t>5.2. Методологија мјерења/</w:t>
            </w:r>
            <w:r w:rsidR="00DF194F"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процјене интерног капиталног захтјева за ризик концентрације</w:t>
            </w:r>
          </w:p>
        </w:tc>
      </w:tr>
      <w:tr w:rsidR="005C6636" w:rsidRPr="001B11AB" w14:paraId="7A522D59" w14:textId="77777777" w:rsidTr="006F4726">
        <w:trPr>
          <w:trHeight w:val="288"/>
        </w:trPr>
        <w:tc>
          <w:tcPr>
            <w:tcW w:w="4803" w:type="dxa"/>
            <w:shd w:val="clear" w:color="auto" w:fill="auto"/>
          </w:tcPr>
          <w:p w14:paraId="0EC06856" w14:textId="77777777" w:rsidR="00E740BB" w:rsidRPr="001B11AB" w:rsidRDefault="00E740BB" w:rsidP="00897F23">
            <w:pPr>
              <w:spacing w:after="60"/>
              <w:jc w:val="both"/>
              <w:rPr>
                <w:rFonts w:ascii="Times New Roman" w:hAnsi="Times New Roman" w:cs="Times New Roman"/>
                <w:sz w:val="20"/>
                <w:szCs w:val="20"/>
                <w:lang w:val="hr-BA"/>
              </w:rPr>
            </w:pPr>
            <w:r w:rsidRPr="001B11AB">
              <w:rPr>
                <w:rFonts w:ascii="Times New Roman" w:hAnsi="Times New Roman" w:cs="Times New Roman"/>
                <w:sz w:val="20"/>
                <w:szCs w:val="20"/>
                <w:lang w:val="ru-RU"/>
              </w:rPr>
              <w:t>Интерни капитални захтјев за ризик концентрације</w:t>
            </w:r>
          </w:p>
        </w:tc>
        <w:tc>
          <w:tcPr>
            <w:tcW w:w="4661" w:type="dxa"/>
            <w:shd w:val="clear" w:color="auto" w:fill="auto"/>
          </w:tcPr>
          <w:p w14:paraId="066F63BE"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sz w:val="20"/>
                <w:szCs w:val="20"/>
              </w:rPr>
              <w:t>Износ (</w:t>
            </w:r>
            <w:r w:rsidRPr="001B11AB">
              <w:rPr>
                <w:rFonts w:ascii="Times New Roman" w:hAnsi="Times New Roman" w:cs="Times New Roman"/>
                <w:i/>
                <w:sz w:val="20"/>
                <w:szCs w:val="20"/>
              </w:rPr>
              <w:t>у 000 КМ</w:t>
            </w:r>
            <w:r w:rsidRPr="001B11AB">
              <w:rPr>
                <w:rFonts w:ascii="Times New Roman" w:hAnsi="Times New Roman" w:cs="Times New Roman"/>
                <w:sz w:val="20"/>
                <w:szCs w:val="20"/>
              </w:rPr>
              <w:t>):</w:t>
            </w:r>
          </w:p>
        </w:tc>
      </w:tr>
      <w:tr w:rsidR="005C6636" w:rsidRPr="001B11AB" w14:paraId="26335109" w14:textId="77777777" w:rsidTr="001824A7">
        <w:trPr>
          <w:trHeight w:val="288"/>
        </w:trPr>
        <w:tc>
          <w:tcPr>
            <w:tcW w:w="9464" w:type="dxa"/>
            <w:gridSpan w:val="2"/>
            <w:shd w:val="clear" w:color="auto" w:fill="D9D9D9" w:themeFill="background1" w:themeFillShade="D9"/>
          </w:tcPr>
          <w:p w14:paraId="3DA2B62A" w14:textId="77777777" w:rsidR="00D95419" w:rsidRPr="001B11AB" w:rsidRDefault="00D95419" w:rsidP="00897F23">
            <w:pPr>
              <w:spacing w:after="6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5.2.1.</w:t>
            </w:r>
            <w:r w:rsidR="00D51513"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 xml:space="preserve">Банка </w:t>
            </w:r>
            <w:r w:rsidR="00CE6A58" w:rsidRPr="001B11AB">
              <w:rPr>
                <w:rFonts w:ascii="Times New Roman" w:hAnsi="Times New Roman" w:cs="Times New Roman"/>
                <w:b/>
                <w:sz w:val="20"/>
                <w:szCs w:val="20"/>
                <w:lang w:val="ru-RU"/>
              </w:rPr>
              <w:t xml:space="preserve">користи </w:t>
            </w:r>
            <w:r w:rsidRPr="001B11AB">
              <w:rPr>
                <w:rFonts w:ascii="Times New Roman" w:hAnsi="Times New Roman" w:cs="Times New Roman"/>
                <w:b/>
                <w:sz w:val="20"/>
                <w:szCs w:val="20"/>
                <w:lang w:val="ru-RU"/>
              </w:rPr>
              <w:t>поједностављени приступ за израчунавање интерних капиталних захтјева за ризик концентрације</w:t>
            </w:r>
          </w:p>
        </w:tc>
      </w:tr>
      <w:tr w:rsidR="005C6636" w:rsidRPr="001B11AB" w14:paraId="00A658CF" w14:textId="77777777" w:rsidTr="006F4726">
        <w:tc>
          <w:tcPr>
            <w:tcW w:w="9464" w:type="dxa"/>
            <w:gridSpan w:val="2"/>
            <w:shd w:val="clear" w:color="auto" w:fill="auto"/>
          </w:tcPr>
          <w:p w14:paraId="19B88FB4" w14:textId="71E0CC3B" w:rsidR="00D95419" w:rsidRPr="001B11AB" w:rsidRDefault="00E740BB" w:rsidP="00897F23">
            <w:pPr>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w:t>
            </w:r>
            <w:r w:rsidR="00D95419" w:rsidRPr="001B11AB">
              <w:rPr>
                <w:rFonts w:ascii="Times New Roman" w:hAnsi="Times New Roman" w:cs="Times New Roman"/>
                <w:i/>
                <w:sz w:val="20"/>
                <w:szCs w:val="20"/>
                <w:lang w:val="ru-RU"/>
              </w:rPr>
              <w:t xml:space="preserve">Поједностављени приступ заснива </w:t>
            </w:r>
            <w:r w:rsidR="00DF194F" w:rsidRPr="001B11AB">
              <w:rPr>
                <w:rFonts w:ascii="Times New Roman" w:hAnsi="Times New Roman" w:cs="Times New Roman"/>
                <w:i/>
                <w:sz w:val="20"/>
                <w:szCs w:val="20"/>
                <w:lang w:val="ru-RU"/>
              </w:rPr>
              <w:t xml:space="preserve">се </w:t>
            </w:r>
            <w:r w:rsidR="00D95419" w:rsidRPr="001B11AB">
              <w:rPr>
                <w:rFonts w:ascii="Times New Roman" w:hAnsi="Times New Roman" w:cs="Times New Roman"/>
                <w:i/>
                <w:sz w:val="20"/>
                <w:szCs w:val="20"/>
                <w:lang w:val="ru-RU"/>
              </w:rPr>
              <w:t>на примјени уобичајених параметара/</w:t>
            </w:r>
            <w:r w:rsidR="00DF194F" w:rsidRPr="001B11AB">
              <w:rPr>
                <w:rFonts w:ascii="Times New Roman" w:hAnsi="Times New Roman" w:cs="Times New Roman"/>
                <w:i/>
                <w:sz w:val="20"/>
                <w:szCs w:val="20"/>
                <w:lang w:val="ru-RU"/>
              </w:rPr>
              <w:t xml:space="preserve"> </w:t>
            </w:r>
            <w:r w:rsidR="00D95419" w:rsidRPr="001B11AB">
              <w:rPr>
                <w:rFonts w:ascii="Times New Roman" w:hAnsi="Times New Roman" w:cs="Times New Roman"/>
                <w:i/>
                <w:sz w:val="20"/>
                <w:szCs w:val="20"/>
                <w:lang w:val="ru-RU"/>
              </w:rPr>
              <w:t>индекса концентрације, кори</w:t>
            </w:r>
            <w:r w:rsidR="00DF194F" w:rsidRPr="001B11AB">
              <w:rPr>
                <w:rFonts w:ascii="Times New Roman" w:hAnsi="Times New Roman" w:cs="Times New Roman"/>
                <w:i/>
                <w:sz w:val="20"/>
                <w:szCs w:val="20"/>
                <w:lang w:val="ru-RU"/>
              </w:rPr>
              <w:t>шћењем</w:t>
            </w:r>
            <w:r w:rsidR="00D95419" w:rsidRPr="001B11AB">
              <w:rPr>
                <w:rFonts w:ascii="Times New Roman" w:hAnsi="Times New Roman" w:cs="Times New Roman"/>
                <w:i/>
                <w:sz w:val="20"/>
                <w:szCs w:val="20"/>
                <w:lang w:val="ru-RU"/>
              </w:rPr>
              <w:t xml:space="preserve"> израчун</w:t>
            </w:r>
            <w:r w:rsidR="00DF194F" w:rsidRPr="001B11AB">
              <w:rPr>
                <w:rFonts w:ascii="Times New Roman" w:hAnsi="Times New Roman" w:cs="Times New Roman"/>
                <w:i/>
                <w:sz w:val="20"/>
                <w:szCs w:val="20"/>
                <w:lang w:val="ru-RU"/>
              </w:rPr>
              <w:t>а</w:t>
            </w:r>
            <w:r w:rsidR="00D95419" w:rsidRPr="001B11AB">
              <w:rPr>
                <w:rFonts w:ascii="Times New Roman" w:hAnsi="Times New Roman" w:cs="Times New Roman"/>
                <w:i/>
                <w:sz w:val="20"/>
                <w:szCs w:val="20"/>
                <w:lang w:val="ru-RU"/>
              </w:rPr>
              <w:t xml:space="preserve"> индекса секторске концентрације или индекса индивидуалне концентрације према једном лицу или групи повезаних лица. При томе, уколико је индекс секторске концентрације већи од 10, банка мора повећати интерне капиталне захтјеве примјеном одговарајућег додатка на капитални захтјев за кредитни ризик, као и у случају да је индекс индивидуалне концентрације већи од 1. Додатак на капитални захтјев за кредитни ризик треба</w:t>
            </w:r>
            <w:r w:rsidR="00DF194F" w:rsidRPr="001B11AB">
              <w:rPr>
                <w:rFonts w:ascii="Times New Roman" w:hAnsi="Times New Roman" w:cs="Times New Roman"/>
                <w:i/>
                <w:sz w:val="20"/>
                <w:szCs w:val="20"/>
                <w:lang w:val="ru-RU"/>
              </w:rPr>
              <w:t xml:space="preserve"> </w:t>
            </w:r>
            <w:r w:rsidR="00D95419" w:rsidRPr="001B11AB">
              <w:rPr>
                <w:rFonts w:ascii="Times New Roman" w:hAnsi="Times New Roman" w:cs="Times New Roman"/>
                <w:i/>
                <w:sz w:val="20"/>
                <w:szCs w:val="20"/>
                <w:lang w:val="ru-RU"/>
              </w:rPr>
              <w:t xml:space="preserve">се кретати у распону од 0% до 8%. </w:t>
            </w:r>
          </w:p>
          <w:p w14:paraId="586DA02A" w14:textId="5807F270" w:rsidR="00E740BB" w:rsidRPr="001B11AB" w:rsidRDefault="00D95419"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ru-RU"/>
              </w:rPr>
              <w:t xml:space="preserve">У случају да банка користи поједностављени приступ, дужна је попунити додатни документ уз Извјештај о ICAAP-у из </w:t>
            </w:r>
            <w:r w:rsidR="005C7005" w:rsidRPr="001B11AB">
              <w:rPr>
                <w:rFonts w:ascii="Times New Roman" w:hAnsi="Times New Roman" w:cs="Times New Roman"/>
                <w:i/>
                <w:sz w:val="20"/>
                <w:szCs w:val="20"/>
                <w:lang w:val="ru-RU"/>
              </w:rPr>
              <w:t>П</w:t>
            </w:r>
            <w:r w:rsidRPr="001B11AB">
              <w:rPr>
                <w:rFonts w:ascii="Times New Roman" w:hAnsi="Times New Roman" w:cs="Times New Roman"/>
                <w:i/>
                <w:sz w:val="20"/>
                <w:szCs w:val="20"/>
                <w:lang w:val="ru-RU"/>
              </w:rPr>
              <w:t>рилога 2 ове одлуке.</w:t>
            </w:r>
            <w:r w:rsidR="00F06ECA" w:rsidRPr="001B11AB">
              <w:rPr>
                <w:rFonts w:ascii="Times New Roman" w:hAnsi="Times New Roman" w:cs="Times New Roman"/>
                <w:i/>
                <w:sz w:val="20"/>
                <w:szCs w:val="20"/>
                <w:lang w:val="sr-Cyrl-CS"/>
              </w:rPr>
              <w:t>]</w:t>
            </w:r>
          </w:p>
        </w:tc>
      </w:tr>
      <w:tr w:rsidR="005C6636" w:rsidRPr="001B11AB" w14:paraId="6E620BBF" w14:textId="77777777" w:rsidTr="001824A7">
        <w:tc>
          <w:tcPr>
            <w:tcW w:w="9464" w:type="dxa"/>
            <w:gridSpan w:val="2"/>
            <w:shd w:val="clear" w:color="auto" w:fill="D9D9D9" w:themeFill="background1" w:themeFillShade="D9"/>
          </w:tcPr>
          <w:p w14:paraId="08A99FBF" w14:textId="77777777" w:rsidR="00D95419" w:rsidRPr="001B11AB" w:rsidRDefault="00F06ECA" w:rsidP="00897F23">
            <w:pPr>
              <w:spacing w:after="60"/>
              <w:jc w:val="both"/>
              <w:rPr>
                <w:rFonts w:ascii="Times New Roman" w:hAnsi="Times New Roman" w:cs="Times New Roman"/>
                <w:i/>
                <w:sz w:val="20"/>
                <w:szCs w:val="20"/>
                <w:lang w:val="ru-RU"/>
              </w:rPr>
            </w:pPr>
            <w:r w:rsidRPr="001B11AB">
              <w:rPr>
                <w:rFonts w:ascii="Times New Roman" w:hAnsi="Times New Roman" w:cs="Times New Roman"/>
                <w:b/>
                <w:sz w:val="20"/>
                <w:szCs w:val="20"/>
                <w:lang w:val="ru-RU"/>
              </w:rPr>
              <w:t>5.2.2</w:t>
            </w:r>
            <w:r w:rsidR="00D95419" w:rsidRPr="001B11AB">
              <w:rPr>
                <w:rFonts w:ascii="Times New Roman" w:hAnsi="Times New Roman" w:cs="Times New Roman"/>
                <w:b/>
                <w:sz w:val="20"/>
                <w:szCs w:val="20"/>
                <w:lang w:val="ru-RU"/>
              </w:rPr>
              <w:t>.</w:t>
            </w:r>
            <w:r w:rsidR="00D51513" w:rsidRPr="001B11AB">
              <w:rPr>
                <w:rFonts w:ascii="Times New Roman" w:hAnsi="Times New Roman" w:cs="Times New Roman"/>
                <w:b/>
                <w:sz w:val="20"/>
                <w:szCs w:val="20"/>
                <w:lang w:val="ru-RU"/>
              </w:rPr>
              <w:t xml:space="preserve"> </w:t>
            </w:r>
            <w:r w:rsidR="00D95419" w:rsidRPr="001B11AB">
              <w:rPr>
                <w:rFonts w:ascii="Times New Roman" w:hAnsi="Times New Roman" w:cs="Times New Roman"/>
                <w:b/>
                <w:sz w:val="20"/>
                <w:szCs w:val="20"/>
                <w:lang w:val="ru-RU"/>
              </w:rPr>
              <w:t xml:space="preserve">Банка </w:t>
            </w:r>
            <w:r w:rsidR="00CE6A58" w:rsidRPr="001B11AB">
              <w:rPr>
                <w:rFonts w:ascii="Times New Roman" w:hAnsi="Times New Roman" w:cs="Times New Roman"/>
                <w:b/>
                <w:sz w:val="20"/>
                <w:szCs w:val="20"/>
                <w:lang w:val="ru-RU"/>
              </w:rPr>
              <w:t>користи властити приступ за израчунавање интерних капиталних захтјева за ризик концентрације</w:t>
            </w:r>
          </w:p>
        </w:tc>
      </w:tr>
      <w:tr w:rsidR="005C6636" w:rsidRPr="001B11AB" w14:paraId="6676456A" w14:textId="77777777" w:rsidTr="006F4726">
        <w:tc>
          <w:tcPr>
            <w:tcW w:w="9464" w:type="dxa"/>
            <w:gridSpan w:val="2"/>
            <w:shd w:val="clear" w:color="auto" w:fill="auto"/>
          </w:tcPr>
          <w:p w14:paraId="42698DEB"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описује основне претпоставке и начин мјерења ризика концентрације.]</w:t>
            </w:r>
            <w:r w:rsidRPr="001B11AB">
              <w:rPr>
                <w:rFonts w:ascii="Times New Roman" w:hAnsi="Times New Roman" w:cs="Times New Roman"/>
                <w:sz w:val="20"/>
                <w:szCs w:val="20"/>
                <w:lang w:val="ru-RU"/>
              </w:rPr>
              <w:t xml:space="preserve"> </w:t>
            </w:r>
          </w:p>
        </w:tc>
      </w:tr>
      <w:tr w:rsidR="005C6636" w:rsidRPr="001B11AB" w14:paraId="782E3644" w14:textId="77777777" w:rsidTr="005C7005">
        <w:trPr>
          <w:trHeight w:val="489"/>
        </w:trPr>
        <w:tc>
          <w:tcPr>
            <w:tcW w:w="9464" w:type="dxa"/>
            <w:gridSpan w:val="2"/>
            <w:shd w:val="clear" w:color="auto" w:fill="auto"/>
          </w:tcPr>
          <w:p w14:paraId="6251D390" w14:textId="77777777" w:rsidR="00053814" w:rsidRPr="001B11AB" w:rsidRDefault="00E740BB"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[Банка наводи интерне акте којима је детаљно прописана методологија процјене интерних капиталних захтјева за ризик концентрације.]</w:t>
            </w:r>
          </w:p>
        </w:tc>
      </w:tr>
      <w:tr w:rsidR="005C6636" w:rsidRPr="001B11AB" w14:paraId="284CC72B" w14:textId="77777777" w:rsidTr="001824A7">
        <w:tc>
          <w:tcPr>
            <w:tcW w:w="9464" w:type="dxa"/>
            <w:gridSpan w:val="2"/>
            <w:shd w:val="clear" w:color="auto" w:fill="D9D9D9" w:themeFill="background1" w:themeFillShade="D9"/>
          </w:tcPr>
          <w:p w14:paraId="1FE4D1AE" w14:textId="77777777" w:rsidR="00E740BB" w:rsidRPr="001B11AB" w:rsidRDefault="00F06ECA" w:rsidP="00897F23">
            <w:pPr>
              <w:widowControl w:val="0"/>
              <w:overflowPunct w:val="0"/>
              <w:autoSpaceDE w:val="0"/>
              <w:autoSpaceDN w:val="0"/>
              <w:adjustRightInd w:val="0"/>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sr-Cyrl-CS"/>
              </w:rPr>
              <w:t>5.2.3</w:t>
            </w:r>
            <w:r w:rsidR="00E740BB" w:rsidRPr="001B11AB">
              <w:rPr>
                <w:rFonts w:ascii="Times New Roman" w:hAnsi="Times New Roman" w:cs="Times New Roman"/>
                <w:b/>
                <w:sz w:val="20"/>
                <w:szCs w:val="20"/>
                <w:lang w:val="sr-Cyrl-CS"/>
              </w:rPr>
              <w:t>. Приликом израчунавања интерних капиталних захтјева за ризик концентрације потребно је укључити процјену засновану на резултатима стрес тестирања, те детаљно описати методологију, претпоставке и начин израчунавања.</w:t>
            </w:r>
          </w:p>
        </w:tc>
      </w:tr>
      <w:tr w:rsidR="005C6636" w:rsidRPr="001B11AB" w14:paraId="1A8A1DA3" w14:textId="77777777" w:rsidTr="00BD0DB6">
        <w:trPr>
          <w:trHeight w:val="1031"/>
        </w:trPr>
        <w:tc>
          <w:tcPr>
            <w:tcW w:w="9464" w:type="dxa"/>
            <w:gridSpan w:val="2"/>
            <w:shd w:val="clear" w:color="auto" w:fill="FFFFFF" w:themeFill="background1"/>
          </w:tcPr>
          <w:p w14:paraId="248196FD" w14:textId="2137B772" w:rsidR="00D95419" w:rsidRPr="001B11AB" w:rsidRDefault="00D95419" w:rsidP="0001425A">
            <w:pPr>
              <w:pStyle w:val="Default"/>
              <w:spacing w:after="60"/>
              <w:jc w:val="both"/>
              <w:rPr>
                <w:rFonts w:ascii="Times New Roman" w:eastAsiaTheme="minorHAnsi" w:hAnsi="Times New Roman" w:cs="Times New Roman"/>
                <w:i/>
                <w:color w:val="auto"/>
                <w:sz w:val="20"/>
                <w:szCs w:val="20"/>
                <w:lang w:val="sr-Cyrl-BA" w:eastAsia="en-US"/>
              </w:rPr>
            </w:pPr>
            <w:r w:rsidRPr="001B11AB">
              <w:rPr>
                <w:rFonts w:ascii="Times New Roman" w:hAnsi="Times New Roman" w:cs="Times New Roman"/>
                <w:b/>
                <w:i/>
                <w:color w:val="auto"/>
                <w:sz w:val="20"/>
                <w:szCs w:val="20"/>
                <w:lang w:val="sr-Cyrl-CS"/>
              </w:rPr>
              <w:t>Напомена:</w:t>
            </w:r>
            <w:r w:rsidRPr="001B11AB">
              <w:rPr>
                <w:rFonts w:ascii="Times New Roman" w:hAnsi="Times New Roman" w:cs="Times New Roman"/>
                <w:i/>
                <w:color w:val="auto"/>
                <w:sz w:val="20"/>
                <w:szCs w:val="20"/>
                <w:lang w:val="sr-Cyrl-CS"/>
              </w:rPr>
              <w:t xml:space="preserve"> </w:t>
            </w:r>
            <w:r w:rsidR="00DF194F" w:rsidRPr="001B11AB">
              <w:rPr>
                <w:rFonts w:ascii="Times New Roman" w:hAnsi="Times New Roman" w:cs="Times New Roman"/>
                <w:i/>
                <w:color w:val="auto"/>
                <w:sz w:val="20"/>
                <w:szCs w:val="20"/>
                <w:lang w:val="sr-Cyrl-CS"/>
              </w:rPr>
              <w:t>Б</w:t>
            </w:r>
            <w:r w:rsidRPr="001B11AB">
              <w:rPr>
                <w:rFonts w:ascii="Times New Roman" w:hAnsi="Times New Roman" w:cs="Times New Roman"/>
                <w:i/>
                <w:color w:val="auto"/>
                <w:sz w:val="20"/>
                <w:szCs w:val="20"/>
                <w:lang w:val="sr-Cyrl-CS"/>
              </w:rPr>
              <w:t>анка анализира изложеност ризику концентрације, најмање по основу директне или индиректне изложености банке према једном лицу или групи повезаних лица, истом привредном сектору,</w:t>
            </w:r>
            <w:r w:rsidR="0048149D" w:rsidRPr="001B11AB">
              <w:rPr>
                <w:rFonts w:ascii="Times New Roman" w:hAnsi="Times New Roman" w:cs="Times New Roman"/>
                <w:i/>
                <w:color w:val="auto"/>
                <w:sz w:val="20"/>
                <w:szCs w:val="20"/>
                <w:lang w:val="sr-Latn-BA"/>
              </w:rPr>
              <w:t xml:space="preserve"> a</w:t>
            </w:r>
            <w:r w:rsidR="00D51513" w:rsidRPr="001B11AB">
              <w:rPr>
                <w:rFonts w:ascii="Times New Roman" w:hAnsi="Times New Roman" w:cs="Times New Roman"/>
                <w:i/>
                <w:color w:val="auto"/>
                <w:sz w:val="20"/>
                <w:szCs w:val="20"/>
                <w:lang w:val="sr-Latn-BA"/>
              </w:rPr>
              <w:t xml:space="preserve"> </w:t>
            </w:r>
            <w:r w:rsidR="0048149D" w:rsidRPr="001B11AB">
              <w:rPr>
                <w:rFonts w:ascii="Times New Roman" w:hAnsi="Times New Roman" w:cs="Times New Roman"/>
                <w:i/>
                <w:color w:val="auto"/>
                <w:sz w:val="20"/>
                <w:szCs w:val="20"/>
                <w:lang w:val="sr-Cyrl-CS"/>
              </w:rPr>
              <w:t xml:space="preserve">може да разматра изложеност </w:t>
            </w:r>
            <w:r w:rsidRPr="001B11AB">
              <w:rPr>
                <w:rFonts w:ascii="Times New Roman" w:hAnsi="Times New Roman" w:cs="Times New Roman"/>
                <w:i/>
                <w:color w:val="auto"/>
                <w:sz w:val="20"/>
                <w:szCs w:val="20"/>
                <w:lang w:val="sr-Cyrl-CS"/>
              </w:rPr>
              <w:t xml:space="preserve">истом географском подручју, истој врсти производа, те по основу употребе истих инструмената кредитне заштите, </w:t>
            </w:r>
            <w:r w:rsidR="0001425A" w:rsidRPr="001B11AB">
              <w:rPr>
                <w:rFonts w:ascii="Times New Roman" w:hAnsi="Times New Roman" w:cs="Times New Roman"/>
                <w:i/>
                <w:color w:val="auto"/>
                <w:sz w:val="20"/>
                <w:szCs w:val="20"/>
                <w:lang w:val="sr-Cyrl-CS"/>
              </w:rPr>
              <w:t>тј.</w:t>
            </w:r>
            <w:r w:rsidRPr="001B11AB">
              <w:rPr>
                <w:rFonts w:ascii="Times New Roman" w:hAnsi="Times New Roman" w:cs="Times New Roman"/>
                <w:i/>
                <w:color w:val="auto"/>
                <w:sz w:val="20"/>
                <w:szCs w:val="20"/>
                <w:lang w:val="sr-Cyrl-CS"/>
              </w:rPr>
              <w:t xml:space="preserve"> ис</w:t>
            </w:r>
            <w:r w:rsidR="00BD0DB6" w:rsidRPr="001B11AB">
              <w:rPr>
                <w:rFonts w:ascii="Times New Roman" w:hAnsi="Times New Roman" w:cs="Times New Roman"/>
                <w:i/>
                <w:color w:val="auto"/>
                <w:sz w:val="20"/>
                <w:szCs w:val="20"/>
                <w:lang w:val="sr-Cyrl-CS"/>
              </w:rPr>
              <w:t>тих пружалаца кредитне заштите.</w:t>
            </w:r>
          </w:p>
        </w:tc>
      </w:tr>
    </w:tbl>
    <w:p w14:paraId="3F9FB2C2" w14:textId="77777777" w:rsidR="00E740BB" w:rsidRPr="001B11AB" w:rsidRDefault="00E740BB" w:rsidP="00897F23">
      <w:pPr>
        <w:spacing w:after="0" w:line="240" w:lineRule="auto"/>
        <w:jc w:val="both"/>
        <w:rPr>
          <w:rFonts w:ascii="Times New Roman" w:hAnsi="Times New Roman" w:cs="Times New Roman"/>
          <w:lang w:val="sr-Latn-BA"/>
        </w:rPr>
      </w:pPr>
    </w:p>
    <w:tbl>
      <w:tblPr>
        <w:tblStyle w:val="TableGrid"/>
        <w:tblW w:w="9514" w:type="dxa"/>
        <w:tblLook w:val="04A0" w:firstRow="1" w:lastRow="0" w:firstColumn="1" w:lastColumn="0" w:noHBand="0" w:noVBand="1"/>
      </w:tblPr>
      <w:tblGrid>
        <w:gridCol w:w="4809"/>
        <w:gridCol w:w="4705"/>
      </w:tblGrid>
      <w:tr w:rsidR="005C6636" w:rsidRPr="001B11AB" w14:paraId="59CF829E" w14:textId="77777777" w:rsidTr="001824A7">
        <w:tc>
          <w:tcPr>
            <w:tcW w:w="9514" w:type="dxa"/>
            <w:gridSpan w:val="2"/>
            <w:tcBorders>
              <w:bottom w:val="single" w:sz="4" w:space="0" w:color="auto"/>
            </w:tcBorders>
            <w:shd w:val="clear" w:color="auto" w:fill="D9D9D9" w:themeFill="background1" w:themeFillShade="D9"/>
          </w:tcPr>
          <w:p w14:paraId="6C998D52" w14:textId="71856023"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5.3. Методологија мјерења/</w:t>
            </w:r>
            <w:r w:rsidR="0001425A"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процјене интерног капиталног захтјева за тржишни ризик</w:t>
            </w:r>
          </w:p>
        </w:tc>
      </w:tr>
      <w:tr w:rsidR="005C6636" w:rsidRPr="001B11AB" w14:paraId="60FA7D54" w14:textId="77777777" w:rsidTr="006F4726">
        <w:tc>
          <w:tcPr>
            <w:tcW w:w="4809" w:type="dxa"/>
            <w:tcBorders>
              <w:bottom w:val="single" w:sz="4" w:space="0" w:color="auto"/>
            </w:tcBorders>
            <w:shd w:val="clear" w:color="auto" w:fill="auto"/>
          </w:tcPr>
          <w:p w14:paraId="08D2BCBF"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sz w:val="20"/>
                <w:szCs w:val="20"/>
                <w:lang w:val="ru-RU"/>
              </w:rPr>
              <w:t xml:space="preserve">Интерни капитални захтјев за тржишни ризик </w:t>
            </w:r>
          </w:p>
        </w:tc>
        <w:tc>
          <w:tcPr>
            <w:tcW w:w="4705" w:type="dxa"/>
            <w:tcBorders>
              <w:bottom w:val="single" w:sz="4" w:space="0" w:color="auto"/>
            </w:tcBorders>
            <w:shd w:val="clear" w:color="auto" w:fill="auto"/>
          </w:tcPr>
          <w:p w14:paraId="179F9A98"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sz w:val="20"/>
                <w:szCs w:val="20"/>
              </w:rPr>
              <w:t>Износ (</w:t>
            </w:r>
            <w:r w:rsidRPr="001B11AB">
              <w:rPr>
                <w:rFonts w:ascii="Times New Roman" w:hAnsi="Times New Roman" w:cs="Times New Roman"/>
                <w:i/>
                <w:sz w:val="20"/>
                <w:szCs w:val="20"/>
              </w:rPr>
              <w:t>у 000 КМ</w:t>
            </w:r>
            <w:r w:rsidRPr="001B11AB">
              <w:rPr>
                <w:rFonts w:ascii="Times New Roman" w:hAnsi="Times New Roman" w:cs="Times New Roman"/>
                <w:sz w:val="20"/>
                <w:szCs w:val="20"/>
              </w:rPr>
              <w:t>):</w:t>
            </w:r>
          </w:p>
        </w:tc>
      </w:tr>
      <w:tr w:rsidR="005C6636" w:rsidRPr="001B11AB" w14:paraId="1091225D" w14:textId="77777777" w:rsidTr="001824A7">
        <w:tc>
          <w:tcPr>
            <w:tcW w:w="9514" w:type="dxa"/>
            <w:gridSpan w:val="2"/>
            <w:shd w:val="clear" w:color="auto" w:fill="D9D9D9" w:themeFill="background1" w:themeFillShade="D9"/>
          </w:tcPr>
          <w:p w14:paraId="04A6DDA1" w14:textId="5B641FBE" w:rsidR="00E740BB" w:rsidRPr="001B11AB" w:rsidRDefault="0001425A" w:rsidP="007359F8">
            <w:pPr>
              <w:pStyle w:val="ListParagraph"/>
              <w:numPr>
                <w:ilvl w:val="2"/>
                <w:numId w:val="26"/>
              </w:numPr>
              <w:spacing w:after="60"/>
              <w:ind w:left="306" w:hanging="306"/>
              <w:contextualSpacing w:val="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Банка примјењује ст</w:t>
            </w:r>
            <w:r w:rsidR="00E740BB" w:rsidRPr="001B11AB">
              <w:rPr>
                <w:rFonts w:ascii="Times New Roman" w:hAnsi="Times New Roman" w:cs="Times New Roman"/>
                <w:b/>
                <w:sz w:val="20"/>
                <w:szCs w:val="20"/>
                <w:lang w:val="ru-RU"/>
              </w:rPr>
              <w:t>андардизовани приступ за израчунавање капиталних захтјева за тржишни ризик</w:t>
            </w:r>
          </w:p>
        </w:tc>
      </w:tr>
      <w:tr w:rsidR="005C6636" w:rsidRPr="001B11AB" w14:paraId="6D3D6DEF" w14:textId="77777777" w:rsidTr="006F4726">
        <w:tc>
          <w:tcPr>
            <w:tcW w:w="9514" w:type="dxa"/>
            <w:gridSpan w:val="2"/>
            <w:shd w:val="clear" w:color="auto" w:fill="auto"/>
          </w:tcPr>
          <w:p w14:paraId="2ADFF818"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разлоге због којих се опредијелила да за рачунање интерног капиталног захтјева користи приступ који већ користи за израчунавање минималних капиталних захтјева за тржишни ризик у складу са одредбама Одлуке о израчунавању капитала банака.]</w:t>
            </w:r>
            <w:r w:rsidRPr="001B11AB">
              <w:rPr>
                <w:rFonts w:ascii="Times New Roman" w:hAnsi="Times New Roman" w:cs="Times New Roman"/>
                <w:sz w:val="20"/>
                <w:szCs w:val="20"/>
                <w:lang w:val="ru-RU"/>
              </w:rPr>
              <w:t xml:space="preserve"> </w:t>
            </w:r>
          </w:p>
        </w:tc>
      </w:tr>
      <w:tr w:rsidR="005C6636" w:rsidRPr="001B11AB" w14:paraId="2910E7EB" w14:textId="77777777" w:rsidTr="006F4726">
        <w:tc>
          <w:tcPr>
            <w:tcW w:w="9514" w:type="dxa"/>
            <w:gridSpan w:val="2"/>
            <w:tcBorders>
              <w:bottom w:val="single" w:sz="4" w:space="0" w:color="auto"/>
            </w:tcBorders>
            <w:shd w:val="clear" w:color="auto" w:fill="auto"/>
          </w:tcPr>
          <w:p w14:paraId="68AF5305" w14:textId="6C150BD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Уколико је примјењиво, банка образлаже процјену могуће потцијењености тржишног ризика због при</w:t>
            </w:r>
            <w:r w:rsidR="0001425A" w:rsidRPr="001B11AB">
              <w:rPr>
                <w:rFonts w:ascii="Times New Roman" w:hAnsi="Times New Roman" w:cs="Times New Roman"/>
                <w:i/>
                <w:sz w:val="20"/>
                <w:szCs w:val="20"/>
                <w:lang w:val="sr-Cyrl-CS"/>
              </w:rPr>
              <w:t>мјене стандардизованог приступа</w:t>
            </w:r>
            <w:r w:rsidRPr="001B11AB">
              <w:rPr>
                <w:rFonts w:ascii="Times New Roman" w:hAnsi="Times New Roman" w:cs="Times New Roman"/>
                <w:i/>
                <w:sz w:val="20"/>
                <w:szCs w:val="20"/>
                <w:lang w:val="sr-Cyrl-CS"/>
              </w:rPr>
              <w:t xml:space="preserve"> те наводи све изложености тржишним ризицима које нису покривене прописаним приступом и детаљно објашњава њихов утицај на процијењене интерне капиталне захтјеве за тржишни ризик.]</w:t>
            </w:r>
          </w:p>
        </w:tc>
      </w:tr>
      <w:tr w:rsidR="005C6636" w:rsidRPr="001B11AB" w14:paraId="2FB0977D" w14:textId="77777777" w:rsidTr="001824A7">
        <w:tc>
          <w:tcPr>
            <w:tcW w:w="9514" w:type="dxa"/>
            <w:gridSpan w:val="2"/>
            <w:shd w:val="clear" w:color="auto" w:fill="D9D9D9" w:themeFill="background1" w:themeFillShade="D9"/>
          </w:tcPr>
          <w:p w14:paraId="089DFAF1"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5.3.</w:t>
            </w:r>
            <w:r w:rsidRPr="001B11AB">
              <w:rPr>
                <w:rFonts w:ascii="Times New Roman" w:hAnsi="Times New Roman" w:cs="Times New Roman"/>
                <w:b/>
                <w:sz w:val="20"/>
                <w:szCs w:val="20"/>
                <w:lang w:val="sr-Latn-BA"/>
              </w:rPr>
              <w:t>2</w:t>
            </w:r>
            <w:r w:rsidRPr="001B11AB">
              <w:rPr>
                <w:rFonts w:ascii="Times New Roman" w:hAnsi="Times New Roman" w:cs="Times New Roman"/>
                <w:b/>
                <w:sz w:val="20"/>
                <w:szCs w:val="20"/>
                <w:lang w:val="ru-RU"/>
              </w:rPr>
              <w:t xml:space="preserve">. </w:t>
            </w:r>
            <w:r w:rsidRPr="001B11AB">
              <w:rPr>
                <w:rFonts w:ascii="Times New Roman" w:hAnsi="Times New Roman" w:cs="Times New Roman"/>
                <w:b/>
                <w:bCs/>
                <w:sz w:val="20"/>
                <w:szCs w:val="20"/>
                <w:lang w:val="ru-RU"/>
              </w:rPr>
              <w:t>Банка је прилагодила стандардизовани приступ за израчунавање капиталних захтјева за тржишни ризик или користи властите приступе</w:t>
            </w:r>
          </w:p>
        </w:tc>
      </w:tr>
      <w:tr w:rsidR="005C6636" w:rsidRPr="001B11AB" w14:paraId="1EBE0536" w14:textId="77777777" w:rsidTr="006F4726">
        <w:tc>
          <w:tcPr>
            <w:tcW w:w="9514" w:type="dxa"/>
            <w:gridSpan w:val="2"/>
            <w:shd w:val="clear" w:color="auto" w:fill="auto"/>
          </w:tcPr>
          <w:p w14:paraId="24B06922" w14:textId="7E741703"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наводи који приступ користи те образлаже разлоге за избор тог приступа.]</w:t>
            </w:r>
          </w:p>
        </w:tc>
      </w:tr>
      <w:tr w:rsidR="005C6636" w:rsidRPr="001B11AB" w14:paraId="30BFA997" w14:textId="77777777" w:rsidTr="006F4726">
        <w:tc>
          <w:tcPr>
            <w:tcW w:w="9514" w:type="dxa"/>
            <w:gridSpan w:val="2"/>
            <w:shd w:val="clear" w:color="auto" w:fill="auto"/>
          </w:tcPr>
          <w:p w14:paraId="7ADAA382"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објашњава методологију и претпоставке на којима се заснива методологија за израчунавање интерних капиталних захтјева. У случају употребе модификованог стандардизованог приступа за израчунавање интерних капиталних захтјева, акценат се ставља на опис разлика у односу на стандардизовани приступ прописан Одлуком о израчунавању капитала банака.</w:t>
            </w:r>
            <w:r w:rsidRPr="001B11AB">
              <w:rPr>
                <w:rFonts w:ascii="Times New Roman" w:hAnsi="Times New Roman" w:cs="Times New Roman"/>
                <w:i/>
                <w:sz w:val="20"/>
                <w:szCs w:val="20"/>
                <w:lang w:val="ru-RU"/>
              </w:rPr>
              <w:t>]</w:t>
            </w:r>
          </w:p>
        </w:tc>
      </w:tr>
      <w:tr w:rsidR="005C6636" w:rsidRPr="001B11AB" w14:paraId="14B2EC04" w14:textId="77777777" w:rsidTr="006F4726">
        <w:tc>
          <w:tcPr>
            <w:tcW w:w="9514" w:type="dxa"/>
            <w:gridSpan w:val="2"/>
            <w:tcBorders>
              <w:bottom w:val="single" w:sz="4" w:space="0" w:color="auto"/>
            </w:tcBorders>
            <w:shd w:val="clear" w:color="auto" w:fill="auto"/>
          </w:tcPr>
          <w:p w14:paraId="43D9C6F8"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sr-Cyrl-CS"/>
              </w:rPr>
            </w:pPr>
            <w:r w:rsidRPr="001B11AB">
              <w:rPr>
                <w:rFonts w:ascii="Times New Roman" w:hAnsi="Times New Roman" w:cs="Times New Roman"/>
                <w:i/>
                <w:sz w:val="20"/>
                <w:szCs w:val="20"/>
                <w:lang w:val="sr-Cyrl-CS"/>
              </w:rPr>
              <w:t>[Банка наводи интерне акте којима је детаљно прописана методологија процјене интерних капиталних захтјева за тржишни ризик.]</w:t>
            </w:r>
            <w:r w:rsidR="0059493D" w:rsidRPr="001B11AB">
              <w:rPr>
                <w:rFonts w:ascii="Times New Roman" w:hAnsi="Times New Roman" w:cs="Times New Roman"/>
                <w:sz w:val="20"/>
                <w:szCs w:val="20"/>
                <w:lang w:val="sr-Cyrl-CS"/>
              </w:rPr>
              <w:t xml:space="preserve"> </w:t>
            </w:r>
          </w:p>
        </w:tc>
      </w:tr>
      <w:tr w:rsidR="005C6636" w:rsidRPr="001B11AB" w14:paraId="5788472A" w14:textId="77777777" w:rsidTr="001824A7">
        <w:tc>
          <w:tcPr>
            <w:tcW w:w="9514" w:type="dxa"/>
            <w:gridSpan w:val="2"/>
            <w:shd w:val="clear" w:color="auto" w:fill="D9D9D9" w:themeFill="background1" w:themeFillShade="D9"/>
          </w:tcPr>
          <w:p w14:paraId="2F1519B7" w14:textId="77777777" w:rsidR="00E740BB" w:rsidRPr="001B11AB" w:rsidRDefault="00E740BB" w:rsidP="00897F23">
            <w:pPr>
              <w:pStyle w:val="ListParagraph"/>
              <w:widowControl w:val="0"/>
              <w:overflowPunct w:val="0"/>
              <w:autoSpaceDE w:val="0"/>
              <w:autoSpaceDN w:val="0"/>
              <w:adjustRightInd w:val="0"/>
              <w:spacing w:after="60"/>
              <w:ind w:left="0"/>
              <w:contextualSpacing w:val="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5.3.</w:t>
            </w:r>
            <w:r w:rsidRPr="001B11AB">
              <w:rPr>
                <w:rFonts w:ascii="Times New Roman" w:hAnsi="Times New Roman" w:cs="Times New Roman"/>
                <w:b/>
                <w:sz w:val="20"/>
                <w:szCs w:val="20"/>
                <w:lang w:val="sr-Latn-BA"/>
              </w:rPr>
              <w:t>3</w:t>
            </w:r>
            <w:r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sr-Cyrl-CS"/>
              </w:rPr>
              <w:t>Приликом израчунавања интерних капиталних захтјева за тржишни ризик потребно је укључити процјену засновану на резултатима стрес тестирања, те детаљно описати методологију, претпоставке и начин израчунавања.</w:t>
            </w:r>
            <w:r w:rsidR="00D51513" w:rsidRPr="001B11AB">
              <w:rPr>
                <w:rFonts w:ascii="Times New Roman" w:hAnsi="Times New Roman" w:cs="Times New Roman"/>
                <w:b/>
                <w:sz w:val="20"/>
                <w:szCs w:val="20"/>
                <w:lang w:val="sr-Cyrl-CS"/>
              </w:rPr>
              <w:t xml:space="preserve"> </w:t>
            </w:r>
          </w:p>
        </w:tc>
      </w:tr>
    </w:tbl>
    <w:p w14:paraId="221EED40" w14:textId="77777777" w:rsidR="00E740BB" w:rsidRPr="001B11AB" w:rsidRDefault="00E740BB" w:rsidP="00897F23">
      <w:pPr>
        <w:spacing w:after="0" w:line="240" w:lineRule="auto"/>
        <w:jc w:val="both"/>
        <w:rPr>
          <w:rFonts w:ascii="Times New Roman" w:hAnsi="Times New Roman" w:cs="Times New Roman"/>
          <w:lang w:val="sr-Cyrl-BA"/>
        </w:rPr>
      </w:pPr>
    </w:p>
    <w:tbl>
      <w:tblPr>
        <w:tblStyle w:val="TableGrid"/>
        <w:tblW w:w="9468" w:type="dxa"/>
        <w:tblLayout w:type="fixed"/>
        <w:tblLook w:val="04A0" w:firstRow="1" w:lastRow="0" w:firstColumn="1" w:lastColumn="0" w:noHBand="0" w:noVBand="1"/>
      </w:tblPr>
      <w:tblGrid>
        <w:gridCol w:w="4935"/>
        <w:gridCol w:w="4533"/>
      </w:tblGrid>
      <w:tr w:rsidR="005C6636" w:rsidRPr="001B11AB" w14:paraId="3FA28C62" w14:textId="77777777" w:rsidTr="001824A7">
        <w:tc>
          <w:tcPr>
            <w:tcW w:w="9468" w:type="dxa"/>
            <w:gridSpan w:val="2"/>
            <w:tcBorders>
              <w:bottom w:val="single" w:sz="4" w:space="0" w:color="auto"/>
            </w:tcBorders>
            <w:shd w:val="clear" w:color="auto" w:fill="D9D9D9" w:themeFill="background1" w:themeFillShade="D9"/>
          </w:tcPr>
          <w:p w14:paraId="3894CDA9" w14:textId="46A3BB1C" w:rsidR="00E740BB" w:rsidRPr="001B11AB" w:rsidRDefault="00E740BB" w:rsidP="00897F23">
            <w:pPr>
              <w:spacing w:after="60"/>
              <w:jc w:val="both"/>
              <w:rPr>
                <w:rFonts w:ascii="Times New Roman" w:hAnsi="Times New Roman" w:cs="Times New Roman"/>
                <w:sz w:val="20"/>
                <w:szCs w:val="20"/>
                <w:lang w:val="hr-HR"/>
              </w:rPr>
            </w:pPr>
            <w:r w:rsidRPr="001B11AB">
              <w:rPr>
                <w:rFonts w:ascii="Times New Roman" w:hAnsi="Times New Roman" w:cs="Times New Roman"/>
                <w:b/>
                <w:sz w:val="20"/>
                <w:szCs w:val="20"/>
                <w:lang w:val="hr-HR"/>
              </w:rPr>
              <w:t xml:space="preserve">5.4. </w:t>
            </w:r>
            <w:r w:rsidRPr="001B11AB">
              <w:rPr>
                <w:rFonts w:ascii="Times New Roman" w:hAnsi="Times New Roman" w:cs="Times New Roman"/>
                <w:b/>
                <w:sz w:val="20"/>
                <w:szCs w:val="20"/>
                <w:lang w:val="ru-RU"/>
              </w:rPr>
              <w:t>Методологија мјерења/</w:t>
            </w:r>
            <w:r w:rsidR="0001425A"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 xml:space="preserve">процјене интерног капиталног захтјева за оперативни ризик </w:t>
            </w:r>
          </w:p>
        </w:tc>
      </w:tr>
      <w:tr w:rsidR="005C6636" w:rsidRPr="001B11AB" w14:paraId="07D544D2" w14:textId="77777777" w:rsidTr="006F4726">
        <w:tc>
          <w:tcPr>
            <w:tcW w:w="4935" w:type="dxa"/>
            <w:tcBorders>
              <w:bottom w:val="single" w:sz="4" w:space="0" w:color="auto"/>
            </w:tcBorders>
            <w:shd w:val="clear" w:color="auto" w:fill="auto"/>
          </w:tcPr>
          <w:p w14:paraId="59F06A16"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sz w:val="20"/>
                <w:szCs w:val="20"/>
                <w:lang w:val="ru-RU"/>
              </w:rPr>
              <w:t xml:space="preserve">Интерни капитални захтјев за оперативни ризик </w:t>
            </w:r>
          </w:p>
        </w:tc>
        <w:tc>
          <w:tcPr>
            <w:tcW w:w="4533" w:type="dxa"/>
            <w:tcBorders>
              <w:bottom w:val="single" w:sz="4" w:space="0" w:color="auto"/>
            </w:tcBorders>
            <w:shd w:val="clear" w:color="auto" w:fill="auto"/>
          </w:tcPr>
          <w:p w14:paraId="7722A9B4"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sz w:val="20"/>
                <w:szCs w:val="20"/>
              </w:rPr>
              <w:t>Износ (</w:t>
            </w:r>
            <w:r w:rsidRPr="001B11AB">
              <w:rPr>
                <w:rFonts w:ascii="Times New Roman" w:hAnsi="Times New Roman" w:cs="Times New Roman"/>
                <w:i/>
                <w:sz w:val="20"/>
                <w:szCs w:val="20"/>
              </w:rPr>
              <w:t>у 000 КМ</w:t>
            </w:r>
            <w:r w:rsidRPr="001B11AB">
              <w:rPr>
                <w:rFonts w:ascii="Times New Roman" w:hAnsi="Times New Roman" w:cs="Times New Roman"/>
                <w:sz w:val="20"/>
                <w:szCs w:val="20"/>
              </w:rPr>
              <w:t>):</w:t>
            </w:r>
          </w:p>
        </w:tc>
      </w:tr>
      <w:tr w:rsidR="005C6636" w:rsidRPr="001B11AB" w14:paraId="5FFE9FB3" w14:textId="77777777" w:rsidTr="001824A7">
        <w:tc>
          <w:tcPr>
            <w:tcW w:w="9468" w:type="dxa"/>
            <w:gridSpan w:val="2"/>
            <w:shd w:val="clear" w:color="auto" w:fill="D9D9D9" w:themeFill="background1" w:themeFillShade="D9"/>
          </w:tcPr>
          <w:p w14:paraId="1BBDEB75" w14:textId="77777777" w:rsidR="00E740BB" w:rsidRPr="001B11AB" w:rsidRDefault="00E740BB" w:rsidP="00897F23">
            <w:pPr>
              <w:pStyle w:val="ListParagraph"/>
              <w:numPr>
                <w:ilvl w:val="2"/>
                <w:numId w:val="27"/>
              </w:numPr>
              <w:spacing w:after="60"/>
              <w:ind w:left="426" w:hanging="426"/>
              <w:contextualSpacing w:val="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 xml:space="preserve"> Банка примјењује један од приступа за израчунавање капиталних захтјева за оперативни ризик из Одлуке о израчунавању капитала банака </w:t>
            </w:r>
          </w:p>
        </w:tc>
      </w:tr>
      <w:tr w:rsidR="005C6636" w:rsidRPr="001B11AB" w14:paraId="58C09A0F" w14:textId="77777777" w:rsidTr="006F4726">
        <w:tc>
          <w:tcPr>
            <w:tcW w:w="9468" w:type="dxa"/>
            <w:gridSpan w:val="2"/>
            <w:shd w:val="clear" w:color="auto" w:fill="auto"/>
          </w:tcPr>
          <w:p w14:paraId="464178B5"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ru-RU"/>
              </w:rPr>
              <w:lastRenderedPageBreak/>
              <w:t>[</w:t>
            </w:r>
            <w:r w:rsidRPr="001B11AB">
              <w:rPr>
                <w:rFonts w:ascii="Times New Roman" w:hAnsi="Times New Roman" w:cs="Times New Roman"/>
                <w:i/>
                <w:sz w:val="20"/>
                <w:szCs w:val="20"/>
                <w:lang w:val="sr-Cyrl-CS"/>
              </w:rPr>
              <w:t>Банка наводи разлоге због којих се опредијелила да за рачунање интерног капиталног захтјева користи приступ који већ користи за израчунавање минималних капиталних захтјева за оперативни ризик у складу са одредбама Одлуке о израчунавању капитала банака.]</w:t>
            </w:r>
          </w:p>
        </w:tc>
      </w:tr>
      <w:tr w:rsidR="005C6636" w:rsidRPr="001B11AB" w14:paraId="7600D2DC" w14:textId="77777777" w:rsidTr="006F4726">
        <w:tc>
          <w:tcPr>
            <w:tcW w:w="9468" w:type="dxa"/>
            <w:gridSpan w:val="2"/>
            <w:tcBorders>
              <w:bottom w:val="single" w:sz="4" w:space="0" w:color="auto"/>
            </w:tcBorders>
            <w:shd w:val="clear" w:color="auto" w:fill="auto"/>
          </w:tcPr>
          <w:p w14:paraId="6FE31746" w14:textId="564CE09F"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Уколико је примјењиво, банка образлаже процјену могуће потцијењености оперативног ризика због примјене приступа основних индикатор</w:t>
            </w:r>
            <w:r w:rsidR="0001425A" w:rsidRPr="001B11AB">
              <w:rPr>
                <w:rFonts w:ascii="Times New Roman" w:hAnsi="Times New Roman" w:cs="Times New Roman"/>
                <w:i/>
                <w:sz w:val="20"/>
                <w:szCs w:val="20"/>
                <w:lang w:val="sr-Cyrl-CS"/>
              </w:rPr>
              <w:t>а или стандардизованог приступа</w:t>
            </w:r>
            <w:r w:rsidRPr="001B11AB">
              <w:rPr>
                <w:rFonts w:ascii="Times New Roman" w:hAnsi="Times New Roman" w:cs="Times New Roman"/>
                <w:i/>
                <w:sz w:val="20"/>
                <w:szCs w:val="20"/>
                <w:lang w:val="sr-Cyrl-CS"/>
              </w:rPr>
              <w:t xml:space="preserve"> те наводи све изложености које нису покривене прописаним приступима и детаљно објашњава њихов утицај на процијењене интерне капиталне захтјеве за оперативни ризик.]</w:t>
            </w:r>
          </w:p>
        </w:tc>
      </w:tr>
      <w:tr w:rsidR="005C6636" w:rsidRPr="001B11AB" w14:paraId="3C24244E" w14:textId="77777777" w:rsidTr="001824A7">
        <w:tc>
          <w:tcPr>
            <w:tcW w:w="9468" w:type="dxa"/>
            <w:gridSpan w:val="2"/>
            <w:shd w:val="clear" w:color="auto" w:fill="D9D9D9" w:themeFill="background1" w:themeFillShade="D9"/>
          </w:tcPr>
          <w:p w14:paraId="18A63AA2" w14:textId="70D8F3C1"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 xml:space="preserve">5.4.2. </w:t>
            </w:r>
            <w:r w:rsidRPr="001B11AB">
              <w:rPr>
                <w:rFonts w:ascii="Times New Roman" w:hAnsi="Times New Roman" w:cs="Times New Roman"/>
                <w:b/>
                <w:bCs/>
                <w:sz w:val="20"/>
                <w:szCs w:val="20"/>
                <w:lang w:val="ru-RU"/>
              </w:rPr>
              <w:t>Банка је прилагодила један од приступ</w:t>
            </w:r>
            <w:r w:rsidR="0001425A" w:rsidRPr="001B11AB">
              <w:rPr>
                <w:rFonts w:ascii="Times New Roman" w:hAnsi="Times New Roman" w:cs="Times New Roman"/>
                <w:b/>
                <w:bCs/>
                <w:sz w:val="20"/>
                <w:szCs w:val="20"/>
                <w:lang w:val="ru-RU"/>
              </w:rPr>
              <w:t>а</w:t>
            </w:r>
            <w:r w:rsidRPr="001B11AB">
              <w:rPr>
                <w:rFonts w:ascii="Times New Roman" w:hAnsi="Times New Roman" w:cs="Times New Roman"/>
                <w:b/>
                <w:bCs/>
                <w:sz w:val="20"/>
                <w:szCs w:val="20"/>
                <w:lang w:val="ru-RU"/>
              </w:rPr>
              <w:t xml:space="preserve"> за израчунавање капиталних захтјева за оперативни ризик или користи властите приступе</w:t>
            </w:r>
          </w:p>
        </w:tc>
      </w:tr>
      <w:tr w:rsidR="005C6636" w:rsidRPr="001B11AB" w14:paraId="59EC9BD7" w14:textId="77777777" w:rsidTr="006F4726">
        <w:tc>
          <w:tcPr>
            <w:tcW w:w="9468" w:type="dxa"/>
            <w:gridSpan w:val="2"/>
            <w:shd w:val="clear" w:color="auto" w:fill="auto"/>
          </w:tcPr>
          <w:p w14:paraId="51919ACD" w14:textId="0D64D8AC"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w:t>
            </w:r>
            <w:r w:rsidR="0001425A" w:rsidRPr="001B11AB">
              <w:rPr>
                <w:rFonts w:ascii="Times New Roman" w:hAnsi="Times New Roman" w:cs="Times New Roman"/>
                <w:i/>
                <w:sz w:val="20"/>
                <w:szCs w:val="20"/>
                <w:lang w:val="sr-Cyrl-CS"/>
              </w:rPr>
              <w:t>нка наводи који приступ користи</w:t>
            </w:r>
            <w:r w:rsidRPr="001B11AB">
              <w:rPr>
                <w:rFonts w:ascii="Times New Roman" w:hAnsi="Times New Roman" w:cs="Times New Roman"/>
                <w:i/>
                <w:sz w:val="20"/>
                <w:szCs w:val="20"/>
                <w:lang w:val="sr-Cyrl-CS"/>
              </w:rPr>
              <w:t xml:space="preserve"> те образлаже разлоге за избор тог приступа.]</w:t>
            </w:r>
          </w:p>
        </w:tc>
      </w:tr>
      <w:tr w:rsidR="005C6636" w:rsidRPr="001B11AB" w14:paraId="1845615B" w14:textId="77777777" w:rsidTr="006F4726">
        <w:tc>
          <w:tcPr>
            <w:tcW w:w="9468" w:type="dxa"/>
            <w:gridSpan w:val="2"/>
            <w:shd w:val="clear" w:color="auto" w:fill="auto"/>
          </w:tcPr>
          <w:p w14:paraId="65235A20"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20"/>
                <w:szCs w:val="20"/>
                <w:lang w:val="ru-RU"/>
              </w:rPr>
            </w:pPr>
            <w:r w:rsidRPr="001B11AB">
              <w:rPr>
                <w:rFonts w:ascii="Times New Roman" w:hAnsi="Times New Roman" w:cs="Times New Roman"/>
                <w:i/>
                <w:sz w:val="20"/>
                <w:szCs w:val="20"/>
                <w:lang w:val="ru-RU"/>
              </w:rPr>
              <w:t>[</w:t>
            </w:r>
            <w:r w:rsidRPr="001B11AB">
              <w:rPr>
                <w:rFonts w:ascii="Times New Roman" w:hAnsi="Times New Roman" w:cs="Times New Roman"/>
                <w:i/>
                <w:sz w:val="20"/>
                <w:szCs w:val="20"/>
                <w:lang w:val="sr-Cyrl-CS"/>
              </w:rPr>
              <w:t>Банка објашњава методологију и претпоставке на којима се заснива методологија за израчунавање интерних капиталних захтјева. У случају употребе модификованог приступа основног индикатора или стандардизованог приступа за израчунавање интерних капиталних захтјева, акценат се ставља на опис разлика у односу на приступе прописане Одлуком о израчунавању капитала банака.</w:t>
            </w:r>
            <w:r w:rsidRPr="001B11AB">
              <w:rPr>
                <w:rFonts w:ascii="Times New Roman" w:hAnsi="Times New Roman" w:cs="Times New Roman"/>
                <w:i/>
                <w:sz w:val="20"/>
                <w:szCs w:val="20"/>
                <w:lang w:val="ru-RU"/>
              </w:rPr>
              <w:t>]</w:t>
            </w:r>
          </w:p>
        </w:tc>
      </w:tr>
      <w:tr w:rsidR="005C6636" w:rsidRPr="001B11AB" w14:paraId="06F0ADE1" w14:textId="77777777" w:rsidTr="006F4726">
        <w:tc>
          <w:tcPr>
            <w:tcW w:w="9468" w:type="dxa"/>
            <w:gridSpan w:val="2"/>
            <w:tcBorders>
              <w:bottom w:val="single" w:sz="4" w:space="0" w:color="auto"/>
            </w:tcBorders>
            <w:shd w:val="clear" w:color="auto" w:fill="auto"/>
          </w:tcPr>
          <w:p w14:paraId="38B4B0D5"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sr-Cyrl-CS"/>
              </w:rPr>
            </w:pPr>
            <w:r w:rsidRPr="001B11AB">
              <w:rPr>
                <w:rFonts w:ascii="Times New Roman" w:hAnsi="Times New Roman" w:cs="Times New Roman"/>
                <w:i/>
                <w:sz w:val="20"/>
                <w:szCs w:val="20"/>
                <w:lang w:val="sr-Cyrl-CS"/>
              </w:rPr>
              <w:t xml:space="preserve"> [Банка наводи интерне акте којима је детаљно прописана методологија процјене интерних капиталних захтјева за оперативни ризик.]</w:t>
            </w:r>
          </w:p>
        </w:tc>
      </w:tr>
      <w:tr w:rsidR="005C6636" w:rsidRPr="001B11AB" w14:paraId="1470A490" w14:textId="77777777" w:rsidTr="001824A7">
        <w:tc>
          <w:tcPr>
            <w:tcW w:w="9468" w:type="dxa"/>
            <w:gridSpan w:val="2"/>
            <w:tcBorders>
              <w:bottom w:val="single" w:sz="4" w:space="0" w:color="auto"/>
            </w:tcBorders>
            <w:shd w:val="clear" w:color="auto" w:fill="D9D9D9" w:themeFill="background1" w:themeFillShade="D9"/>
          </w:tcPr>
          <w:p w14:paraId="5A4B43B0" w14:textId="07464304" w:rsidR="00E740BB" w:rsidRPr="001B11AB" w:rsidRDefault="00E740BB" w:rsidP="00897F23">
            <w:pPr>
              <w:pStyle w:val="ListParagraph"/>
              <w:widowControl w:val="0"/>
              <w:overflowPunct w:val="0"/>
              <w:autoSpaceDE w:val="0"/>
              <w:autoSpaceDN w:val="0"/>
              <w:adjustRightInd w:val="0"/>
              <w:spacing w:after="60"/>
              <w:ind w:left="0"/>
              <w:contextualSpacing w:val="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 xml:space="preserve">5.4.3. </w:t>
            </w:r>
            <w:r w:rsidRPr="001B11AB">
              <w:rPr>
                <w:rFonts w:ascii="Times New Roman" w:hAnsi="Times New Roman" w:cs="Times New Roman"/>
                <w:b/>
                <w:sz w:val="20"/>
                <w:szCs w:val="20"/>
                <w:lang w:val="sr-Cyrl-CS"/>
              </w:rPr>
              <w:t>Приликом израчунавања интерних капиталних захтјева за оперативни ризик потребно је укључити процјену засновану</w:t>
            </w:r>
            <w:r w:rsidR="00742C7B" w:rsidRPr="001B11AB">
              <w:rPr>
                <w:rFonts w:ascii="Times New Roman" w:hAnsi="Times New Roman" w:cs="Times New Roman"/>
                <w:b/>
                <w:sz w:val="20"/>
                <w:szCs w:val="20"/>
                <w:lang w:val="sr-Cyrl-CS"/>
              </w:rPr>
              <w:t xml:space="preserve"> на резултатима стрес тестирања</w:t>
            </w:r>
            <w:r w:rsidRPr="001B11AB">
              <w:rPr>
                <w:rFonts w:ascii="Times New Roman" w:hAnsi="Times New Roman" w:cs="Times New Roman"/>
                <w:b/>
                <w:sz w:val="20"/>
                <w:szCs w:val="20"/>
                <w:lang w:val="sr-Cyrl-CS"/>
              </w:rPr>
              <w:t xml:space="preserve"> те детаљно описати методологију, претпоставке и начин израчунавања.</w:t>
            </w:r>
            <w:r w:rsidR="00D51513" w:rsidRPr="001B11AB">
              <w:rPr>
                <w:rFonts w:ascii="Times New Roman" w:hAnsi="Times New Roman" w:cs="Times New Roman"/>
                <w:b/>
                <w:sz w:val="20"/>
                <w:szCs w:val="20"/>
                <w:lang w:val="sr-Cyrl-CS"/>
              </w:rPr>
              <w:t xml:space="preserve"> </w:t>
            </w:r>
          </w:p>
        </w:tc>
      </w:tr>
    </w:tbl>
    <w:p w14:paraId="4065D1D3" w14:textId="77777777" w:rsidR="00E740BB" w:rsidRPr="001B11AB" w:rsidRDefault="00E740BB" w:rsidP="00897F23">
      <w:pPr>
        <w:spacing w:after="0" w:line="240" w:lineRule="auto"/>
        <w:rPr>
          <w:rFonts w:ascii="Times New Roman" w:hAnsi="Times New Roman" w:cs="Times New Roman"/>
          <w:sz w:val="20"/>
          <w:szCs w:val="20"/>
          <w:lang w:val="ru-RU"/>
        </w:rPr>
      </w:pPr>
    </w:p>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3"/>
        <w:gridCol w:w="4679"/>
      </w:tblGrid>
      <w:tr w:rsidR="005C6636" w:rsidRPr="001B11AB" w14:paraId="3C333D05" w14:textId="77777777" w:rsidTr="001824A7">
        <w:tc>
          <w:tcPr>
            <w:tcW w:w="94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F5742" w14:textId="2D85AD5F"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5.5. Методологија мјерења/</w:t>
            </w:r>
            <w:r w:rsidR="00742C7B"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 xml:space="preserve">процјене интерног капиталног захтјева за ризик </w:t>
            </w:r>
            <w:r w:rsidR="005C7005" w:rsidRPr="001B11AB">
              <w:rPr>
                <w:rFonts w:ascii="Times New Roman" w:hAnsi="Times New Roman" w:cs="Times New Roman"/>
                <w:b/>
                <w:sz w:val="20"/>
                <w:szCs w:val="20"/>
                <w:lang w:val="ru-RU"/>
              </w:rPr>
              <w:t xml:space="preserve">тржишне </w:t>
            </w:r>
            <w:r w:rsidRPr="001B11AB">
              <w:rPr>
                <w:rFonts w:ascii="Times New Roman" w:hAnsi="Times New Roman" w:cs="Times New Roman"/>
                <w:b/>
                <w:sz w:val="20"/>
                <w:szCs w:val="20"/>
                <w:lang w:val="ru-RU"/>
              </w:rPr>
              <w:t>ликвидности</w:t>
            </w:r>
          </w:p>
        </w:tc>
      </w:tr>
      <w:tr w:rsidR="005C6636" w:rsidRPr="001B11AB" w14:paraId="593C0474" w14:textId="77777777" w:rsidTr="006F4726">
        <w:tc>
          <w:tcPr>
            <w:tcW w:w="4803" w:type="dxa"/>
            <w:tcBorders>
              <w:top w:val="single" w:sz="4" w:space="0" w:color="auto"/>
              <w:left w:val="single" w:sz="4" w:space="0" w:color="auto"/>
              <w:bottom w:val="single" w:sz="4" w:space="0" w:color="auto"/>
              <w:right w:val="single" w:sz="4" w:space="0" w:color="auto"/>
            </w:tcBorders>
            <w:shd w:val="clear" w:color="auto" w:fill="auto"/>
          </w:tcPr>
          <w:p w14:paraId="14B8AB95"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sz w:val="20"/>
                <w:szCs w:val="20"/>
                <w:lang w:val="ru-RU"/>
              </w:rPr>
              <w:t>Интерни капитални захтјев за ризик ликвидности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0B9B208A"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sz w:val="20"/>
                <w:szCs w:val="20"/>
              </w:rPr>
              <w:t>Износ (</w:t>
            </w:r>
            <w:r w:rsidRPr="001B11AB">
              <w:rPr>
                <w:rFonts w:ascii="Times New Roman" w:hAnsi="Times New Roman" w:cs="Times New Roman"/>
                <w:i/>
                <w:sz w:val="20"/>
                <w:szCs w:val="20"/>
              </w:rPr>
              <w:t>у 000 КМ</w:t>
            </w:r>
            <w:r w:rsidRPr="001B11AB">
              <w:rPr>
                <w:rFonts w:ascii="Times New Roman" w:hAnsi="Times New Roman" w:cs="Times New Roman"/>
                <w:sz w:val="20"/>
                <w:szCs w:val="20"/>
              </w:rPr>
              <w:t>):</w:t>
            </w:r>
          </w:p>
        </w:tc>
      </w:tr>
      <w:tr w:rsidR="005C6636" w:rsidRPr="001B11AB" w14:paraId="50F9B434" w14:textId="77777777" w:rsidTr="006F4726">
        <w:tc>
          <w:tcPr>
            <w:tcW w:w="9482" w:type="dxa"/>
            <w:gridSpan w:val="2"/>
            <w:tcBorders>
              <w:top w:val="single" w:sz="4" w:space="0" w:color="auto"/>
              <w:left w:val="single" w:sz="4" w:space="0" w:color="auto"/>
              <w:bottom w:val="single" w:sz="4" w:space="0" w:color="auto"/>
              <w:right w:val="single" w:sz="4" w:space="0" w:color="auto"/>
            </w:tcBorders>
            <w:shd w:val="clear" w:color="auto" w:fill="auto"/>
          </w:tcPr>
          <w:p w14:paraId="6E83CA6D"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sr-Cyrl-CS"/>
              </w:rPr>
              <w:t xml:space="preserve"> [Банка објашњава методологију и претпоставке на којима се заснива методологија за израчунавање интерних капиталних захтјева.]</w:t>
            </w:r>
            <w:r w:rsidR="00D51513" w:rsidRPr="001B11AB">
              <w:rPr>
                <w:rFonts w:ascii="Times New Roman" w:hAnsi="Times New Roman" w:cs="Times New Roman"/>
                <w:sz w:val="20"/>
                <w:szCs w:val="20"/>
                <w:lang w:val="sr-Cyrl-CS"/>
              </w:rPr>
              <w:t xml:space="preserve"> </w:t>
            </w:r>
          </w:p>
        </w:tc>
      </w:tr>
      <w:tr w:rsidR="005C6636" w:rsidRPr="001B11AB" w14:paraId="3C5A3AF3" w14:textId="77777777" w:rsidTr="006F4726">
        <w:tc>
          <w:tcPr>
            <w:tcW w:w="9482" w:type="dxa"/>
            <w:gridSpan w:val="2"/>
            <w:tcBorders>
              <w:top w:val="single" w:sz="4" w:space="0" w:color="auto"/>
              <w:left w:val="single" w:sz="4" w:space="0" w:color="auto"/>
              <w:bottom w:val="single" w:sz="4" w:space="0" w:color="auto"/>
              <w:right w:val="single" w:sz="4" w:space="0" w:color="auto"/>
            </w:tcBorders>
            <w:shd w:val="clear" w:color="auto" w:fill="auto"/>
          </w:tcPr>
          <w:p w14:paraId="16830B6E" w14:textId="667BE660" w:rsidR="00E740BB" w:rsidRPr="001B11AB" w:rsidRDefault="00E740BB" w:rsidP="00742C7B">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sr-Cyrl-CS"/>
              </w:rPr>
              <w:t xml:space="preserve"> [</w:t>
            </w:r>
            <w:r w:rsidR="00742C7B" w:rsidRPr="001B11AB">
              <w:rPr>
                <w:rFonts w:ascii="Times New Roman" w:hAnsi="Times New Roman" w:cs="Times New Roman"/>
                <w:i/>
                <w:sz w:val="20"/>
                <w:szCs w:val="20"/>
                <w:lang w:val="sr-Cyrl-CS"/>
              </w:rPr>
              <w:t>У прилогу овог извјештаја б</w:t>
            </w:r>
            <w:r w:rsidRPr="001B11AB">
              <w:rPr>
                <w:rFonts w:ascii="Times New Roman" w:hAnsi="Times New Roman" w:cs="Times New Roman"/>
                <w:i/>
                <w:sz w:val="20"/>
                <w:szCs w:val="20"/>
                <w:lang w:val="sr-Cyrl-CS"/>
              </w:rPr>
              <w:t>анка доставља план извора финансирања за наредне три године и план за ванредне ситуације.]</w:t>
            </w:r>
          </w:p>
        </w:tc>
      </w:tr>
      <w:tr w:rsidR="005C6636" w:rsidRPr="001B11AB" w14:paraId="126AC68E" w14:textId="77777777" w:rsidTr="006F4726">
        <w:tc>
          <w:tcPr>
            <w:tcW w:w="9482" w:type="dxa"/>
            <w:gridSpan w:val="2"/>
            <w:tcBorders>
              <w:top w:val="single" w:sz="4" w:space="0" w:color="auto"/>
              <w:left w:val="single" w:sz="4" w:space="0" w:color="auto"/>
              <w:bottom w:val="single" w:sz="4" w:space="0" w:color="auto"/>
              <w:right w:val="single" w:sz="4" w:space="0" w:color="auto"/>
            </w:tcBorders>
            <w:shd w:val="clear" w:color="auto" w:fill="auto"/>
          </w:tcPr>
          <w:p w14:paraId="6C945AC2"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sr-Cyrl-CS"/>
              </w:rPr>
              <w:t xml:space="preserve"> [Банка наводи интерне акте којима је детаљно прописана методологија процјене интерних капиталних захтјева за ризик </w:t>
            </w:r>
            <w:r w:rsidR="00F06ECA" w:rsidRPr="001B11AB">
              <w:rPr>
                <w:rFonts w:ascii="Times New Roman" w:hAnsi="Times New Roman" w:cs="Times New Roman"/>
                <w:i/>
                <w:sz w:val="20"/>
                <w:szCs w:val="20"/>
                <w:lang w:val="sr-Cyrl-CS"/>
              </w:rPr>
              <w:t xml:space="preserve">тржишне </w:t>
            </w:r>
            <w:r w:rsidRPr="001B11AB">
              <w:rPr>
                <w:rFonts w:ascii="Times New Roman" w:hAnsi="Times New Roman" w:cs="Times New Roman"/>
                <w:i/>
                <w:sz w:val="20"/>
                <w:szCs w:val="20"/>
                <w:lang w:val="sr-Cyrl-CS"/>
              </w:rPr>
              <w:t>ликвидности.]</w:t>
            </w:r>
            <w:r w:rsidR="0059493D" w:rsidRPr="001B11AB">
              <w:rPr>
                <w:rFonts w:ascii="Times New Roman" w:hAnsi="Times New Roman" w:cs="Times New Roman"/>
                <w:sz w:val="20"/>
                <w:szCs w:val="20"/>
                <w:lang w:val="sr-Cyrl-CS"/>
              </w:rPr>
              <w:t xml:space="preserve"> </w:t>
            </w:r>
          </w:p>
        </w:tc>
      </w:tr>
      <w:tr w:rsidR="005C6636" w:rsidRPr="001B11AB" w14:paraId="078FC6C3" w14:textId="77777777" w:rsidTr="001824A7">
        <w:tc>
          <w:tcPr>
            <w:tcW w:w="94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FF5A7" w14:textId="223F2CE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5.5.</w:t>
            </w:r>
            <w:r w:rsidRPr="001B11AB">
              <w:rPr>
                <w:rFonts w:ascii="Times New Roman" w:hAnsi="Times New Roman" w:cs="Times New Roman"/>
                <w:b/>
                <w:sz w:val="20"/>
                <w:szCs w:val="20"/>
                <w:lang w:val="sr-Latn-BA"/>
              </w:rPr>
              <w:t>1</w:t>
            </w:r>
            <w:r w:rsidRPr="001B11AB">
              <w:rPr>
                <w:rFonts w:ascii="Times New Roman" w:hAnsi="Times New Roman" w:cs="Times New Roman"/>
                <w:b/>
                <w:sz w:val="20"/>
                <w:szCs w:val="20"/>
                <w:lang w:val="ru-RU"/>
              </w:rPr>
              <w:t>. Приликом израчунавања интерних капиталних захтјева за ризик ликвидности потребно је укључити процјену засновану</w:t>
            </w:r>
            <w:r w:rsidR="00FF1F06" w:rsidRPr="001B11AB">
              <w:rPr>
                <w:rFonts w:ascii="Times New Roman" w:hAnsi="Times New Roman" w:cs="Times New Roman"/>
                <w:b/>
                <w:sz w:val="20"/>
                <w:szCs w:val="20"/>
                <w:lang w:val="ru-RU"/>
              </w:rPr>
              <w:t xml:space="preserve"> на резултатима стрес тестирања</w:t>
            </w:r>
            <w:r w:rsidRPr="001B11AB">
              <w:rPr>
                <w:rFonts w:ascii="Times New Roman" w:hAnsi="Times New Roman" w:cs="Times New Roman"/>
                <w:b/>
                <w:sz w:val="20"/>
                <w:szCs w:val="20"/>
                <w:lang w:val="ru-RU"/>
              </w:rPr>
              <w:t xml:space="preserve"> те детаљно описати методологију, претпоставке и начин израчунавања.</w:t>
            </w:r>
          </w:p>
        </w:tc>
      </w:tr>
    </w:tbl>
    <w:p w14:paraId="31C8D812" w14:textId="77777777" w:rsidR="00E740BB" w:rsidRPr="001B11AB" w:rsidRDefault="00E740BB" w:rsidP="00897F23">
      <w:pPr>
        <w:spacing w:after="0" w:line="240" w:lineRule="auto"/>
        <w:jc w:val="both"/>
        <w:rPr>
          <w:rFonts w:ascii="Times New Roman" w:hAnsi="Times New Roman" w:cs="Times New Roman"/>
          <w:sz w:val="20"/>
          <w:szCs w:val="20"/>
          <w:lang w:val="ru-RU"/>
        </w:rPr>
      </w:pPr>
    </w:p>
    <w:tbl>
      <w:tblPr>
        <w:tblStyle w:val="TableGrid"/>
        <w:tblW w:w="9468" w:type="dxa"/>
        <w:tblLook w:val="04A0" w:firstRow="1" w:lastRow="0" w:firstColumn="1" w:lastColumn="0" w:noHBand="0" w:noVBand="1"/>
      </w:tblPr>
      <w:tblGrid>
        <w:gridCol w:w="5220"/>
        <w:gridCol w:w="4248"/>
      </w:tblGrid>
      <w:tr w:rsidR="005C6636" w:rsidRPr="001B11AB" w14:paraId="40E45AC0" w14:textId="77777777" w:rsidTr="001824A7">
        <w:tc>
          <w:tcPr>
            <w:tcW w:w="9468" w:type="dxa"/>
            <w:gridSpan w:val="2"/>
            <w:tcBorders>
              <w:bottom w:val="single" w:sz="4" w:space="0" w:color="auto"/>
            </w:tcBorders>
            <w:shd w:val="clear" w:color="auto" w:fill="D9D9D9" w:themeFill="background1" w:themeFillShade="D9"/>
          </w:tcPr>
          <w:p w14:paraId="0115EAFB" w14:textId="6CAA4E9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5.6. Методологија мјерења/</w:t>
            </w:r>
            <w:r w:rsidR="00FF1F06"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процјене интерног капиталног захтјева за каматни ризик у банкарској књизи</w:t>
            </w:r>
          </w:p>
        </w:tc>
      </w:tr>
      <w:tr w:rsidR="005C6636" w:rsidRPr="001B11AB" w14:paraId="6E6B8303" w14:textId="77777777" w:rsidTr="006F4726">
        <w:tc>
          <w:tcPr>
            <w:tcW w:w="5220" w:type="dxa"/>
            <w:shd w:val="clear" w:color="auto" w:fill="auto"/>
          </w:tcPr>
          <w:p w14:paraId="137A611A"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sz w:val="20"/>
                <w:szCs w:val="20"/>
                <w:lang w:val="ru-RU"/>
              </w:rPr>
              <w:t xml:space="preserve">Интерни капитални захтјев за каматни ризик у банкарској књизи </w:t>
            </w:r>
          </w:p>
        </w:tc>
        <w:tc>
          <w:tcPr>
            <w:tcW w:w="4248" w:type="dxa"/>
            <w:shd w:val="clear" w:color="auto" w:fill="auto"/>
          </w:tcPr>
          <w:p w14:paraId="58EBF038"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sz w:val="20"/>
                <w:szCs w:val="20"/>
              </w:rPr>
              <w:t>Износ (</w:t>
            </w:r>
            <w:r w:rsidRPr="001B11AB">
              <w:rPr>
                <w:rFonts w:ascii="Times New Roman" w:hAnsi="Times New Roman" w:cs="Times New Roman"/>
                <w:i/>
                <w:sz w:val="20"/>
                <w:szCs w:val="20"/>
              </w:rPr>
              <w:t>у 000 КМ</w:t>
            </w:r>
            <w:r w:rsidRPr="001B11AB">
              <w:rPr>
                <w:rFonts w:ascii="Times New Roman" w:hAnsi="Times New Roman" w:cs="Times New Roman"/>
                <w:sz w:val="20"/>
                <w:szCs w:val="20"/>
              </w:rPr>
              <w:t>):</w:t>
            </w:r>
          </w:p>
        </w:tc>
      </w:tr>
      <w:tr w:rsidR="005C6636" w:rsidRPr="001B11AB" w14:paraId="390EC062" w14:textId="77777777" w:rsidTr="001824A7">
        <w:tc>
          <w:tcPr>
            <w:tcW w:w="9468" w:type="dxa"/>
            <w:gridSpan w:val="2"/>
            <w:tcBorders>
              <w:bottom w:val="single" w:sz="4" w:space="0" w:color="auto"/>
            </w:tcBorders>
            <w:shd w:val="clear" w:color="auto" w:fill="D9D9D9" w:themeFill="background1" w:themeFillShade="D9"/>
          </w:tcPr>
          <w:p w14:paraId="2D8DEECB" w14:textId="77777777" w:rsidR="00F06ECA" w:rsidRPr="001B11AB" w:rsidRDefault="00F06ECA" w:rsidP="00897F23">
            <w:pPr>
              <w:spacing w:after="6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5.6.1. Банка користи поједностављени приступ за израчунавање интерних капиталних захтјева за каматни ризик у банкарској књизи</w:t>
            </w:r>
          </w:p>
        </w:tc>
      </w:tr>
      <w:tr w:rsidR="005C6636" w:rsidRPr="001B11AB" w14:paraId="77680CA6" w14:textId="77777777" w:rsidTr="006F4726">
        <w:tc>
          <w:tcPr>
            <w:tcW w:w="9468" w:type="dxa"/>
            <w:gridSpan w:val="2"/>
            <w:shd w:val="clear" w:color="auto" w:fill="auto"/>
          </w:tcPr>
          <w:p w14:paraId="05F732E4" w14:textId="77777777" w:rsidR="00F06ECA" w:rsidRPr="001B11AB" w:rsidRDefault="00F06ECA" w:rsidP="00897F23">
            <w:pPr>
              <w:widowControl w:val="0"/>
              <w:overflowPunct w:val="0"/>
              <w:autoSpaceDE w:val="0"/>
              <w:autoSpaceDN w:val="0"/>
              <w:adjustRightInd w:val="0"/>
              <w:spacing w:after="60"/>
              <w:jc w:val="both"/>
              <w:rPr>
                <w:rFonts w:ascii="Times New Roman" w:hAnsi="Times New Roman" w:cs="Times New Roman"/>
                <w:i/>
                <w:sz w:val="20"/>
                <w:szCs w:val="20"/>
                <w:lang w:val="sr-Latn-BA"/>
              </w:rPr>
            </w:pPr>
            <w:r w:rsidRPr="001B11AB">
              <w:rPr>
                <w:rFonts w:ascii="Times New Roman" w:hAnsi="Times New Roman" w:cs="Times New Roman"/>
                <w:i/>
                <w:sz w:val="20"/>
                <w:szCs w:val="20"/>
                <w:lang w:val="sr-Cyrl-CS"/>
              </w:rPr>
              <w:t>[Поједностављени приступ је заснован на поједностављеном обрачуну процјене промјене економске вриједности банкарске књиге, примјеном стандардног каматног шока на позиције банкарске књиге у складу са чланом 5. Одлуке о управљању каматним ризиком у банкарској књизи.</w:t>
            </w:r>
            <w:r w:rsidRPr="001B11AB">
              <w:rPr>
                <w:rFonts w:ascii="Times New Roman" w:hAnsi="Times New Roman" w:cs="Times New Roman"/>
                <w:i/>
                <w:sz w:val="20"/>
                <w:szCs w:val="20"/>
                <w:lang w:val="ru-RU"/>
              </w:rPr>
              <w:t>]</w:t>
            </w:r>
            <w:r w:rsidR="00234A25" w:rsidRPr="001B11AB">
              <w:rPr>
                <w:rFonts w:ascii="Times New Roman" w:hAnsi="Times New Roman" w:cs="Times New Roman"/>
                <w:i/>
                <w:sz w:val="20"/>
                <w:szCs w:val="20"/>
                <w:lang w:val="sr-Cyrl-CS"/>
              </w:rPr>
              <w:t xml:space="preserve"> </w:t>
            </w:r>
          </w:p>
        </w:tc>
      </w:tr>
      <w:tr w:rsidR="005C6636" w:rsidRPr="001B11AB" w14:paraId="18CAA5C7" w14:textId="77777777" w:rsidTr="006F4726">
        <w:tc>
          <w:tcPr>
            <w:tcW w:w="9468" w:type="dxa"/>
            <w:gridSpan w:val="2"/>
            <w:shd w:val="clear" w:color="auto" w:fill="auto"/>
          </w:tcPr>
          <w:p w14:paraId="6DBA2281" w14:textId="77777777" w:rsidR="00F06ECA" w:rsidRPr="001B11AB" w:rsidRDefault="00F06ECA" w:rsidP="00897F23">
            <w:pPr>
              <w:widowControl w:val="0"/>
              <w:overflowPunct w:val="0"/>
              <w:autoSpaceDE w:val="0"/>
              <w:autoSpaceDN w:val="0"/>
              <w:adjustRightInd w:val="0"/>
              <w:spacing w:after="60"/>
              <w:jc w:val="both"/>
              <w:rPr>
                <w:rFonts w:ascii="Times New Roman" w:hAnsi="Times New Roman" w:cs="Times New Roman"/>
                <w:i/>
                <w:sz w:val="20"/>
                <w:szCs w:val="20"/>
                <w:lang w:val="ru-RU"/>
              </w:rPr>
            </w:pPr>
            <w:r w:rsidRPr="001B11AB">
              <w:rPr>
                <w:rFonts w:ascii="Times New Roman" w:hAnsi="Times New Roman" w:cs="Times New Roman"/>
                <w:i/>
                <w:sz w:val="20"/>
                <w:szCs w:val="20"/>
                <w:lang w:val="sr-Cyrl-CS"/>
              </w:rPr>
              <w:t>[Банка која користи поједностављени приступ мора образложити разлоге због којих сматра да је тај приступ адекватан за утврђивање интерних капиталних захтјева за покриће каматног ризика у банкарској књизи.</w:t>
            </w:r>
            <w:r w:rsidRPr="001B11AB">
              <w:rPr>
                <w:rFonts w:ascii="Times New Roman" w:hAnsi="Times New Roman" w:cs="Times New Roman"/>
                <w:i/>
                <w:sz w:val="20"/>
                <w:szCs w:val="20"/>
                <w:lang w:val="ru-RU"/>
              </w:rPr>
              <w:t xml:space="preserve"> ]</w:t>
            </w:r>
          </w:p>
        </w:tc>
      </w:tr>
      <w:tr w:rsidR="005C6636" w:rsidRPr="001B11AB" w14:paraId="78CE23A6" w14:textId="77777777" w:rsidTr="001824A7">
        <w:tc>
          <w:tcPr>
            <w:tcW w:w="9468" w:type="dxa"/>
            <w:gridSpan w:val="2"/>
            <w:shd w:val="clear" w:color="auto" w:fill="D9D9D9" w:themeFill="background1" w:themeFillShade="D9"/>
          </w:tcPr>
          <w:p w14:paraId="314680F6" w14:textId="77777777" w:rsidR="00F06ECA" w:rsidRPr="001B11AB" w:rsidRDefault="00F06ECA" w:rsidP="00897F23">
            <w:pPr>
              <w:spacing w:after="60"/>
              <w:jc w:val="both"/>
              <w:rPr>
                <w:rFonts w:ascii="Times New Roman" w:hAnsi="Times New Roman" w:cs="Times New Roman"/>
                <w:b/>
                <w:sz w:val="20"/>
                <w:szCs w:val="20"/>
                <w:lang w:val="ru-RU"/>
              </w:rPr>
            </w:pPr>
            <w:r w:rsidRPr="001B11AB">
              <w:rPr>
                <w:rFonts w:ascii="Times New Roman" w:hAnsi="Times New Roman" w:cs="Times New Roman"/>
                <w:b/>
                <w:sz w:val="20"/>
                <w:szCs w:val="20"/>
                <w:lang w:val="ru-RU"/>
              </w:rPr>
              <w:t>5.6.2. Банка користи властити приступ за израчунавање интерних капиталних захтјева за каматни ризик у банкарској књизи</w:t>
            </w:r>
          </w:p>
        </w:tc>
      </w:tr>
      <w:tr w:rsidR="005C6636" w:rsidRPr="001B11AB" w14:paraId="3A41111A" w14:textId="77777777" w:rsidTr="006F4726">
        <w:tc>
          <w:tcPr>
            <w:tcW w:w="9468" w:type="dxa"/>
            <w:gridSpan w:val="2"/>
            <w:shd w:val="clear" w:color="auto" w:fill="auto"/>
          </w:tcPr>
          <w:p w14:paraId="173A7FAF"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sr-Cyrl-CS"/>
              </w:rPr>
              <w:t>[Банка објашњава методологију и претпоставке на којима се заснива методологија за израчунавање интерних капиталних захтјева.</w:t>
            </w:r>
            <w:r w:rsidRPr="001B11AB">
              <w:rPr>
                <w:rFonts w:ascii="Times New Roman" w:hAnsi="Times New Roman" w:cs="Times New Roman"/>
                <w:i/>
                <w:sz w:val="20"/>
                <w:szCs w:val="20"/>
                <w:lang w:val="ru-RU"/>
              </w:rPr>
              <w:t>]</w:t>
            </w:r>
          </w:p>
        </w:tc>
      </w:tr>
      <w:tr w:rsidR="005C6636" w:rsidRPr="001B11AB" w14:paraId="5E508A8C" w14:textId="77777777" w:rsidTr="006F4726">
        <w:tc>
          <w:tcPr>
            <w:tcW w:w="9468" w:type="dxa"/>
            <w:gridSpan w:val="2"/>
            <w:shd w:val="clear" w:color="auto" w:fill="auto"/>
          </w:tcPr>
          <w:p w14:paraId="6D39D295"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i/>
                <w:sz w:val="20"/>
                <w:szCs w:val="20"/>
                <w:lang w:val="sr-Cyrl-CS"/>
              </w:rPr>
              <w:t>[Банка наводи интерне акте којима је детаљно прописана методологија процјене интерних капиталних захтјева за каматни ризик у банкарској књизи.]</w:t>
            </w:r>
          </w:p>
        </w:tc>
      </w:tr>
      <w:tr w:rsidR="005C6636" w:rsidRPr="001B11AB" w14:paraId="79D64B58" w14:textId="77777777" w:rsidTr="001824A7">
        <w:tc>
          <w:tcPr>
            <w:tcW w:w="9468" w:type="dxa"/>
            <w:gridSpan w:val="2"/>
            <w:shd w:val="clear" w:color="auto" w:fill="D9D9D9" w:themeFill="background1" w:themeFillShade="D9"/>
          </w:tcPr>
          <w:p w14:paraId="52E016C4" w14:textId="7E708092" w:rsidR="00E740BB" w:rsidRPr="001B11AB" w:rsidRDefault="00F06ECA" w:rsidP="00897F23">
            <w:pPr>
              <w:widowControl w:val="0"/>
              <w:overflowPunct w:val="0"/>
              <w:autoSpaceDE w:val="0"/>
              <w:autoSpaceDN w:val="0"/>
              <w:adjustRightInd w:val="0"/>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5.6.3</w:t>
            </w:r>
            <w:r w:rsidR="00E740BB" w:rsidRPr="001B11AB">
              <w:rPr>
                <w:rFonts w:ascii="Times New Roman" w:hAnsi="Times New Roman" w:cs="Times New Roman"/>
                <w:b/>
                <w:sz w:val="20"/>
                <w:szCs w:val="20"/>
                <w:lang w:val="ru-RU"/>
              </w:rPr>
              <w:t>. Приликом израчунавања интерних капиталних захтјева за каматни ризик у банкарској књизи потребно је укључити процјену засновану</w:t>
            </w:r>
            <w:r w:rsidR="00FF1F06" w:rsidRPr="001B11AB">
              <w:rPr>
                <w:rFonts w:ascii="Times New Roman" w:hAnsi="Times New Roman" w:cs="Times New Roman"/>
                <w:b/>
                <w:sz w:val="20"/>
                <w:szCs w:val="20"/>
                <w:lang w:val="ru-RU"/>
              </w:rPr>
              <w:t xml:space="preserve"> на резултатима стрес тестирања</w:t>
            </w:r>
            <w:r w:rsidR="00E740BB" w:rsidRPr="001B11AB">
              <w:rPr>
                <w:rFonts w:ascii="Times New Roman" w:hAnsi="Times New Roman" w:cs="Times New Roman"/>
                <w:b/>
                <w:sz w:val="20"/>
                <w:szCs w:val="20"/>
                <w:lang w:val="ru-RU"/>
              </w:rPr>
              <w:t xml:space="preserve"> те детаљно описати методологију, претпоставке и начин израчунавања.</w:t>
            </w:r>
          </w:p>
        </w:tc>
      </w:tr>
    </w:tbl>
    <w:p w14:paraId="2D156F9F" w14:textId="77777777" w:rsidR="00E740BB" w:rsidRPr="001B11AB" w:rsidRDefault="00E740BB" w:rsidP="00897F23">
      <w:pPr>
        <w:spacing w:after="0" w:line="240" w:lineRule="auto"/>
        <w:jc w:val="both"/>
        <w:rPr>
          <w:rFonts w:ascii="Times New Roman" w:hAnsi="Times New Roman" w:cs="Times New Roman"/>
          <w:lang w:val="ru-RU"/>
        </w:rPr>
      </w:pPr>
    </w:p>
    <w:tbl>
      <w:tblPr>
        <w:tblStyle w:val="TableGrid"/>
        <w:tblW w:w="9468" w:type="dxa"/>
        <w:tblLayout w:type="fixed"/>
        <w:tblLook w:val="04A0" w:firstRow="1" w:lastRow="0" w:firstColumn="1" w:lastColumn="0" w:noHBand="0" w:noVBand="1"/>
      </w:tblPr>
      <w:tblGrid>
        <w:gridCol w:w="4935"/>
        <w:gridCol w:w="4533"/>
      </w:tblGrid>
      <w:tr w:rsidR="005C6636" w:rsidRPr="001B11AB" w14:paraId="7239ADA2" w14:textId="77777777" w:rsidTr="001824A7">
        <w:tc>
          <w:tcPr>
            <w:tcW w:w="9468" w:type="dxa"/>
            <w:gridSpan w:val="2"/>
            <w:tcBorders>
              <w:bottom w:val="single" w:sz="4" w:space="0" w:color="auto"/>
            </w:tcBorders>
            <w:shd w:val="clear" w:color="auto" w:fill="D9D9D9" w:themeFill="background1" w:themeFillShade="D9"/>
          </w:tcPr>
          <w:p w14:paraId="2A67FBF5" w14:textId="3D01698F"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lastRenderedPageBreak/>
              <w:t>5.7. Методологија мјерења/</w:t>
            </w:r>
            <w:r w:rsidR="00FF1F06"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процјене интерног капиталног захтјева за кредитно-девизни ризик</w:t>
            </w:r>
          </w:p>
        </w:tc>
      </w:tr>
      <w:tr w:rsidR="005C6636" w:rsidRPr="001B11AB" w14:paraId="4CC9796B" w14:textId="77777777" w:rsidTr="006F4726">
        <w:tc>
          <w:tcPr>
            <w:tcW w:w="4935" w:type="dxa"/>
            <w:shd w:val="clear" w:color="auto" w:fill="auto"/>
          </w:tcPr>
          <w:p w14:paraId="29C71292"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sz w:val="18"/>
                <w:szCs w:val="18"/>
                <w:lang w:val="ru-RU"/>
              </w:rPr>
              <w:t xml:space="preserve">Интерни капитални захтјев за кредитно-девизни ризик </w:t>
            </w:r>
          </w:p>
        </w:tc>
        <w:tc>
          <w:tcPr>
            <w:tcW w:w="4533" w:type="dxa"/>
            <w:shd w:val="clear" w:color="auto" w:fill="auto"/>
          </w:tcPr>
          <w:p w14:paraId="5520221C" w14:textId="77777777" w:rsidR="00E740BB" w:rsidRPr="001B11AB" w:rsidRDefault="00E740BB" w:rsidP="00897F23">
            <w:pPr>
              <w:spacing w:after="60"/>
              <w:jc w:val="both"/>
              <w:rPr>
                <w:rFonts w:ascii="Times New Roman" w:hAnsi="Times New Roman" w:cs="Times New Roman"/>
                <w:sz w:val="18"/>
                <w:szCs w:val="18"/>
              </w:rPr>
            </w:pPr>
            <w:r w:rsidRPr="001B11AB">
              <w:rPr>
                <w:rFonts w:ascii="Times New Roman" w:hAnsi="Times New Roman" w:cs="Times New Roman"/>
                <w:sz w:val="18"/>
                <w:szCs w:val="18"/>
              </w:rPr>
              <w:t>Износ (</w:t>
            </w:r>
            <w:r w:rsidRPr="001B11AB">
              <w:rPr>
                <w:rFonts w:ascii="Times New Roman" w:hAnsi="Times New Roman" w:cs="Times New Roman"/>
                <w:i/>
                <w:sz w:val="18"/>
                <w:szCs w:val="18"/>
              </w:rPr>
              <w:t>у 000 КМ</w:t>
            </w:r>
            <w:r w:rsidRPr="001B11AB">
              <w:rPr>
                <w:rFonts w:ascii="Times New Roman" w:hAnsi="Times New Roman" w:cs="Times New Roman"/>
                <w:sz w:val="18"/>
                <w:szCs w:val="18"/>
              </w:rPr>
              <w:t>):</w:t>
            </w:r>
          </w:p>
        </w:tc>
      </w:tr>
      <w:tr w:rsidR="005C6636" w:rsidRPr="001B11AB" w14:paraId="3C7CB62D" w14:textId="77777777" w:rsidTr="006F4726">
        <w:tc>
          <w:tcPr>
            <w:tcW w:w="9468" w:type="dxa"/>
            <w:gridSpan w:val="2"/>
            <w:shd w:val="clear" w:color="auto" w:fill="auto"/>
          </w:tcPr>
          <w:p w14:paraId="6843D144" w14:textId="77777777" w:rsidR="00EC1920" w:rsidRPr="001B11AB" w:rsidRDefault="00E740BB" w:rsidP="00897F23">
            <w:pPr>
              <w:widowControl w:val="0"/>
              <w:overflowPunct w:val="0"/>
              <w:autoSpaceDE w:val="0"/>
              <w:autoSpaceDN w:val="0"/>
              <w:adjustRightInd w:val="0"/>
              <w:spacing w:after="60"/>
              <w:jc w:val="both"/>
              <w:rPr>
                <w:rFonts w:ascii="Times New Roman" w:hAnsi="Times New Roman" w:cs="Times New Roman"/>
                <w:sz w:val="23"/>
                <w:szCs w:val="23"/>
                <w:lang w:val="ru-RU"/>
              </w:rPr>
            </w:pPr>
            <w:r w:rsidRPr="001B11AB">
              <w:rPr>
                <w:rFonts w:ascii="Times New Roman" w:hAnsi="Times New Roman" w:cs="Times New Roman"/>
                <w:i/>
                <w:sz w:val="20"/>
                <w:szCs w:val="20"/>
                <w:lang w:val="sr-Cyrl-CS"/>
              </w:rPr>
              <w:t>[Банка објашњава методологију и претпоставке на којима се заснива методологија за израчунавање интерних капиталних захтјева.</w:t>
            </w:r>
            <w:r w:rsidR="00EC1920" w:rsidRPr="001B11AB">
              <w:rPr>
                <w:rFonts w:ascii="Times New Roman" w:hAnsi="Times New Roman" w:cs="Times New Roman"/>
                <w:sz w:val="23"/>
                <w:szCs w:val="23"/>
                <w:lang w:val="ru-RU"/>
              </w:rPr>
              <w:t xml:space="preserve"> </w:t>
            </w:r>
          </w:p>
          <w:p w14:paraId="0CBFFDEA" w14:textId="6A37744B" w:rsidR="00E740BB" w:rsidRPr="001B11AB" w:rsidRDefault="00EC1920" w:rsidP="00FF1F06">
            <w:pPr>
              <w:widowControl w:val="0"/>
              <w:overflowPunct w:val="0"/>
              <w:autoSpaceDE w:val="0"/>
              <w:autoSpaceDN w:val="0"/>
              <w:adjustRightInd w:val="0"/>
              <w:spacing w:after="60"/>
              <w:jc w:val="both"/>
              <w:rPr>
                <w:rFonts w:ascii="Times New Roman" w:hAnsi="Times New Roman" w:cs="Times New Roman"/>
                <w:iCs/>
                <w:sz w:val="16"/>
                <w:szCs w:val="16"/>
                <w:lang w:val="ru-RU"/>
              </w:rPr>
            </w:pPr>
            <w:r w:rsidRPr="001B11AB">
              <w:rPr>
                <w:rFonts w:ascii="Times New Roman" w:hAnsi="Times New Roman" w:cs="Times New Roman"/>
                <w:i/>
                <w:sz w:val="20"/>
                <w:szCs w:val="20"/>
                <w:lang w:val="sr-Cyrl-CS"/>
              </w:rPr>
              <w:t xml:space="preserve">Банка која примјењује стандардизовани приступ за израчунавање капиталних захтјева за кредитни </w:t>
            </w:r>
            <w:r w:rsidR="00FF1F06" w:rsidRPr="001B11AB">
              <w:rPr>
                <w:rFonts w:ascii="Times New Roman" w:hAnsi="Times New Roman" w:cs="Times New Roman"/>
                <w:i/>
                <w:sz w:val="20"/>
                <w:szCs w:val="20"/>
                <w:lang w:val="sr-Cyrl-CS"/>
              </w:rPr>
              <w:t>ризик при</w:t>
            </w:r>
            <w:r w:rsidRPr="001B11AB">
              <w:rPr>
                <w:rFonts w:ascii="Times New Roman" w:hAnsi="Times New Roman" w:cs="Times New Roman"/>
                <w:i/>
                <w:sz w:val="20"/>
                <w:szCs w:val="20"/>
                <w:lang w:val="sr-Cyrl-CS"/>
              </w:rPr>
              <w:t xml:space="preserve"> израчунавањ</w:t>
            </w:r>
            <w:r w:rsidR="00FF1F06" w:rsidRPr="001B11AB">
              <w:rPr>
                <w:rFonts w:ascii="Times New Roman" w:hAnsi="Times New Roman" w:cs="Times New Roman"/>
                <w:i/>
                <w:sz w:val="20"/>
                <w:szCs w:val="20"/>
                <w:lang w:val="sr-Cyrl-CS"/>
              </w:rPr>
              <w:t>у</w:t>
            </w:r>
            <w:r w:rsidRPr="001B11AB">
              <w:rPr>
                <w:rFonts w:ascii="Times New Roman" w:hAnsi="Times New Roman" w:cs="Times New Roman"/>
                <w:i/>
                <w:sz w:val="20"/>
                <w:szCs w:val="20"/>
                <w:lang w:val="sr-Cyrl-CS"/>
              </w:rPr>
              <w:t xml:space="preserve"> интерних капиталних захтјева за кредитно-девизни ризик </w:t>
            </w:r>
            <w:r w:rsidR="00FF1F06" w:rsidRPr="001B11AB">
              <w:rPr>
                <w:rFonts w:ascii="Times New Roman" w:hAnsi="Times New Roman" w:cs="Times New Roman"/>
                <w:i/>
                <w:sz w:val="20"/>
                <w:szCs w:val="20"/>
                <w:lang w:val="sr-Cyrl-CS"/>
              </w:rPr>
              <w:t xml:space="preserve">треба </w:t>
            </w:r>
            <w:r w:rsidRPr="001B11AB">
              <w:rPr>
                <w:rFonts w:ascii="Times New Roman" w:hAnsi="Times New Roman" w:cs="Times New Roman"/>
                <w:i/>
                <w:sz w:val="20"/>
                <w:szCs w:val="20"/>
                <w:lang w:val="sr-Cyrl-CS"/>
              </w:rPr>
              <w:t>користити приступ заснован на модификацији (повећању) пондера ризика који се примјењују у складу са станд</w:t>
            </w:r>
            <w:r w:rsidR="00FF1F06" w:rsidRPr="001B11AB">
              <w:rPr>
                <w:rFonts w:ascii="Times New Roman" w:hAnsi="Times New Roman" w:cs="Times New Roman"/>
                <w:i/>
                <w:sz w:val="20"/>
                <w:szCs w:val="20"/>
                <w:lang w:val="sr-Cyrl-CS"/>
              </w:rPr>
              <w:t>ардизованим приступом. При томе</w:t>
            </w:r>
            <w:r w:rsidRPr="001B11AB">
              <w:rPr>
                <w:rFonts w:ascii="Times New Roman" w:hAnsi="Times New Roman" w:cs="Times New Roman"/>
                <w:i/>
                <w:sz w:val="20"/>
                <w:szCs w:val="20"/>
                <w:lang w:val="sr-Cyrl-CS"/>
              </w:rPr>
              <w:t xml:space="preserve"> банка повећава пондер ризика који се примјењује за појединачне изложености према лицима која немају изворе средстава за отплату у истој валути у којој је изложеност. Наведени приступ се примјењује у случају изложености које нису у еврима или са девизном клаузулом у еврима.]</w:t>
            </w:r>
          </w:p>
        </w:tc>
      </w:tr>
      <w:tr w:rsidR="005C6636" w:rsidRPr="001B11AB" w14:paraId="33394A8D" w14:textId="77777777" w:rsidTr="006F4726">
        <w:tc>
          <w:tcPr>
            <w:tcW w:w="9468" w:type="dxa"/>
            <w:gridSpan w:val="2"/>
            <w:shd w:val="clear" w:color="auto" w:fill="auto"/>
          </w:tcPr>
          <w:p w14:paraId="1765B0B8"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16"/>
                <w:szCs w:val="16"/>
                <w:lang w:val="ru-RU"/>
              </w:rPr>
            </w:pPr>
            <w:r w:rsidRPr="001B11AB">
              <w:rPr>
                <w:rFonts w:ascii="Times New Roman" w:hAnsi="Times New Roman" w:cs="Times New Roman"/>
                <w:i/>
                <w:sz w:val="20"/>
                <w:szCs w:val="20"/>
                <w:lang w:val="sr-Cyrl-CS"/>
              </w:rPr>
              <w:t>[Банка наводи интерне акте којима је детаљно прописана методологија процјене интерних капиталних захтјева за кредитно-девизни ризик.]</w:t>
            </w:r>
          </w:p>
        </w:tc>
      </w:tr>
      <w:tr w:rsidR="005C6636" w:rsidRPr="001B11AB" w14:paraId="3A4C6BBD" w14:textId="77777777" w:rsidTr="001824A7">
        <w:tc>
          <w:tcPr>
            <w:tcW w:w="9468" w:type="dxa"/>
            <w:gridSpan w:val="2"/>
            <w:shd w:val="clear" w:color="auto" w:fill="D9D9D9" w:themeFill="background1" w:themeFillShade="D9"/>
          </w:tcPr>
          <w:p w14:paraId="37EDD68B" w14:textId="6B53EB09"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b/>
                <w:sz w:val="18"/>
                <w:szCs w:val="18"/>
                <w:lang w:val="ru-RU"/>
              </w:rPr>
              <w:t xml:space="preserve">5.7.1. </w:t>
            </w:r>
            <w:r w:rsidRPr="001B11AB">
              <w:rPr>
                <w:rFonts w:ascii="Times New Roman" w:hAnsi="Times New Roman" w:cs="Times New Roman"/>
                <w:b/>
                <w:sz w:val="20"/>
                <w:szCs w:val="20"/>
                <w:lang w:val="ru-RU"/>
              </w:rPr>
              <w:t xml:space="preserve">Приликом израчунавања интерних капиталних захтјева за кредитно-девизни ризик потребно је укључити процјену засновану на </w:t>
            </w:r>
            <w:r w:rsidR="00FF1F06" w:rsidRPr="001B11AB">
              <w:rPr>
                <w:rFonts w:ascii="Times New Roman" w:hAnsi="Times New Roman" w:cs="Times New Roman"/>
                <w:b/>
                <w:sz w:val="20"/>
                <w:szCs w:val="20"/>
                <w:lang w:val="ru-RU"/>
              </w:rPr>
              <w:t>резултатима стрес тестирања</w:t>
            </w:r>
            <w:r w:rsidRPr="001B11AB">
              <w:rPr>
                <w:rFonts w:ascii="Times New Roman" w:hAnsi="Times New Roman" w:cs="Times New Roman"/>
                <w:b/>
                <w:sz w:val="20"/>
                <w:szCs w:val="20"/>
                <w:lang w:val="ru-RU"/>
              </w:rPr>
              <w:t xml:space="preserve"> те детаљно описати методологију, претпоставке и начин израчунавања.</w:t>
            </w:r>
          </w:p>
        </w:tc>
      </w:tr>
    </w:tbl>
    <w:p w14:paraId="20CDF1F3" w14:textId="77777777" w:rsidR="00E740BB" w:rsidRPr="001B11AB" w:rsidRDefault="00E740BB" w:rsidP="00897F23">
      <w:pPr>
        <w:spacing w:after="0" w:line="240" w:lineRule="auto"/>
        <w:rPr>
          <w:rFonts w:ascii="Times New Roman" w:hAnsi="Times New Roman" w:cs="Times New Roman"/>
          <w:lang w:val="sr-Cyrl-BA"/>
        </w:rPr>
      </w:pPr>
    </w:p>
    <w:tbl>
      <w:tblPr>
        <w:tblStyle w:val="TableGrid"/>
        <w:tblW w:w="9468" w:type="dxa"/>
        <w:tblLayout w:type="fixed"/>
        <w:tblLook w:val="04A0" w:firstRow="1" w:lastRow="0" w:firstColumn="1" w:lastColumn="0" w:noHBand="0" w:noVBand="1"/>
      </w:tblPr>
      <w:tblGrid>
        <w:gridCol w:w="4695"/>
        <w:gridCol w:w="4773"/>
      </w:tblGrid>
      <w:tr w:rsidR="005C6636" w:rsidRPr="001B11AB" w14:paraId="6D577B68" w14:textId="77777777" w:rsidTr="0041702C">
        <w:tc>
          <w:tcPr>
            <w:tcW w:w="9468" w:type="dxa"/>
            <w:gridSpan w:val="2"/>
            <w:tcBorders>
              <w:bottom w:val="single" w:sz="4" w:space="0" w:color="auto"/>
            </w:tcBorders>
            <w:shd w:val="clear" w:color="auto" w:fill="D9D9D9" w:themeFill="background1" w:themeFillShade="D9"/>
          </w:tcPr>
          <w:p w14:paraId="2AED515F" w14:textId="0D6CBADF"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5.8. Методологија мјерења/</w:t>
            </w:r>
            <w:r w:rsidR="00FF1F06" w:rsidRPr="001B11AB">
              <w:rPr>
                <w:rFonts w:ascii="Times New Roman" w:hAnsi="Times New Roman" w:cs="Times New Roman"/>
                <w:b/>
                <w:sz w:val="20"/>
                <w:szCs w:val="20"/>
                <w:lang w:val="ru-RU"/>
              </w:rPr>
              <w:t xml:space="preserve"> </w:t>
            </w:r>
            <w:r w:rsidRPr="001B11AB">
              <w:rPr>
                <w:rFonts w:ascii="Times New Roman" w:hAnsi="Times New Roman" w:cs="Times New Roman"/>
                <w:b/>
                <w:sz w:val="20"/>
                <w:szCs w:val="20"/>
                <w:lang w:val="ru-RU"/>
              </w:rPr>
              <w:t>процјене интерног капиталног захтјева за остале значајне ризике</w:t>
            </w:r>
          </w:p>
        </w:tc>
      </w:tr>
      <w:tr w:rsidR="005C6636" w:rsidRPr="001B11AB" w14:paraId="7515E6DD" w14:textId="77777777" w:rsidTr="00234A25">
        <w:tc>
          <w:tcPr>
            <w:tcW w:w="4695" w:type="dxa"/>
            <w:tcBorders>
              <w:bottom w:val="single" w:sz="4" w:space="0" w:color="auto"/>
            </w:tcBorders>
            <w:shd w:val="clear" w:color="auto" w:fill="auto"/>
          </w:tcPr>
          <w:p w14:paraId="50263313"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sz w:val="18"/>
                <w:szCs w:val="18"/>
                <w:lang w:val="ru-RU"/>
              </w:rPr>
              <w:t xml:space="preserve">Интерни капитални захтјев за остале значајне ризике </w:t>
            </w:r>
          </w:p>
        </w:tc>
        <w:tc>
          <w:tcPr>
            <w:tcW w:w="4773" w:type="dxa"/>
            <w:tcBorders>
              <w:bottom w:val="single" w:sz="4" w:space="0" w:color="auto"/>
            </w:tcBorders>
            <w:shd w:val="clear" w:color="auto" w:fill="auto"/>
          </w:tcPr>
          <w:p w14:paraId="64824820" w14:textId="77777777" w:rsidR="00E740BB" w:rsidRPr="001B11AB" w:rsidRDefault="00E740BB" w:rsidP="00897F23">
            <w:pPr>
              <w:spacing w:after="60"/>
              <w:jc w:val="both"/>
              <w:rPr>
                <w:rFonts w:ascii="Times New Roman" w:hAnsi="Times New Roman" w:cs="Times New Roman"/>
                <w:sz w:val="18"/>
                <w:szCs w:val="18"/>
              </w:rPr>
            </w:pPr>
            <w:r w:rsidRPr="001B11AB">
              <w:rPr>
                <w:rFonts w:ascii="Times New Roman" w:hAnsi="Times New Roman" w:cs="Times New Roman"/>
                <w:sz w:val="18"/>
                <w:szCs w:val="18"/>
              </w:rPr>
              <w:t>Износ (</w:t>
            </w:r>
            <w:r w:rsidRPr="001B11AB">
              <w:rPr>
                <w:rFonts w:ascii="Times New Roman" w:hAnsi="Times New Roman" w:cs="Times New Roman"/>
                <w:i/>
                <w:sz w:val="18"/>
                <w:szCs w:val="18"/>
              </w:rPr>
              <w:t>у 000 КМ</w:t>
            </w:r>
            <w:r w:rsidRPr="001B11AB">
              <w:rPr>
                <w:rFonts w:ascii="Times New Roman" w:hAnsi="Times New Roman" w:cs="Times New Roman"/>
                <w:sz w:val="18"/>
                <w:szCs w:val="18"/>
              </w:rPr>
              <w:t>):</w:t>
            </w:r>
          </w:p>
        </w:tc>
      </w:tr>
      <w:tr w:rsidR="005C6636" w:rsidRPr="001B11AB" w14:paraId="02AAF352" w14:textId="77777777" w:rsidTr="0041702C">
        <w:tc>
          <w:tcPr>
            <w:tcW w:w="9468" w:type="dxa"/>
            <w:gridSpan w:val="2"/>
            <w:tcBorders>
              <w:bottom w:val="single" w:sz="4" w:space="0" w:color="auto"/>
            </w:tcBorders>
            <w:shd w:val="clear" w:color="auto" w:fill="D9D9D9" w:themeFill="background1" w:themeFillShade="D9"/>
          </w:tcPr>
          <w:p w14:paraId="6446940F" w14:textId="77777777" w:rsidR="00E740BB" w:rsidRPr="001B11AB" w:rsidRDefault="00E740BB" w:rsidP="00897F23">
            <w:pPr>
              <w:spacing w:after="60"/>
              <w:ind w:left="567" w:hanging="567"/>
              <w:jc w:val="both"/>
              <w:rPr>
                <w:rFonts w:ascii="Times New Roman" w:hAnsi="Times New Roman" w:cs="Times New Roman"/>
                <w:b/>
                <w:sz w:val="18"/>
                <w:szCs w:val="18"/>
                <w:lang w:val="ru-RU"/>
              </w:rPr>
            </w:pPr>
            <w:r w:rsidRPr="001B11AB">
              <w:rPr>
                <w:rFonts w:ascii="Times New Roman" w:hAnsi="Times New Roman" w:cs="Times New Roman"/>
                <w:b/>
                <w:sz w:val="18"/>
                <w:szCs w:val="18"/>
                <w:lang w:val="ru-RU"/>
              </w:rPr>
              <w:t>5.8.1.</w:t>
            </w:r>
            <w:r w:rsidR="00D51513" w:rsidRPr="001B11AB">
              <w:rPr>
                <w:rFonts w:ascii="Times New Roman" w:hAnsi="Times New Roman" w:cs="Times New Roman"/>
                <w:b/>
                <w:sz w:val="18"/>
                <w:szCs w:val="18"/>
                <w:lang w:val="ru-RU"/>
              </w:rPr>
              <w:t xml:space="preserve"> </w:t>
            </w:r>
            <w:r w:rsidRPr="001B11AB">
              <w:rPr>
                <w:rFonts w:ascii="Times New Roman" w:hAnsi="Times New Roman" w:cs="Times New Roman"/>
                <w:b/>
                <w:sz w:val="18"/>
                <w:szCs w:val="18"/>
                <w:lang w:val="ru-RU"/>
              </w:rPr>
              <w:t xml:space="preserve">Банка примјењује поједностављени начин израчунавања интерних капиталних захтјева за остале значајне ризике </w:t>
            </w:r>
          </w:p>
        </w:tc>
      </w:tr>
      <w:tr w:rsidR="005C6636" w:rsidRPr="001B11AB" w14:paraId="2E39F2EA" w14:textId="77777777" w:rsidTr="00234A25">
        <w:tc>
          <w:tcPr>
            <w:tcW w:w="9468" w:type="dxa"/>
            <w:gridSpan w:val="2"/>
            <w:tcBorders>
              <w:top w:val="single" w:sz="4" w:space="0" w:color="auto"/>
            </w:tcBorders>
            <w:shd w:val="clear" w:color="auto" w:fill="auto"/>
          </w:tcPr>
          <w:p w14:paraId="73454B88" w14:textId="6C79D53F" w:rsidR="00E740BB" w:rsidRPr="001B11AB" w:rsidRDefault="00E740BB" w:rsidP="00897F23">
            <w:pPr>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[Банка образлаже разлоге за избор процента који ће користити за по</w:t>
            </w:r>
            <w:r w:rsidR="00EC1920" w:rsidRPr="001B11AB">
              <w:rPr>
                <w:rFonts w:ascii="Times New Roman" w:hAnsi="Times New Roman" w:cs="Times New Roman"/>
                <w:i/>
                <w:sz w:val="20"/>
                <w:szCs w:val="20"/>
                <w:lang w:val="sr-Cyrl-CS"/>
              </w:rPr>
              <w:t xml:space="preserve">криће осталих значајних ризика </w:t>
            </w:r>
            <w:r w:rsidRPr="001B11AB">
              <w:rPr>
                <w:rFonts w:ascii="Times New Roman" w:hAnsi="Times New Roman" w:cs="Times New Roman"/>
                <w:i/>
                <w:sz w:val="20"/>
                <w:szCs w:val="20"/>
                <w:lang w:val="ru-RU"/>
              </w:rPr>
              <w:t xml:space="preserve">у укупном износу </w:t>
            </w:r>
            <w:r w:rsidRPr="001B11AB">
              <w:rPr>
                <w:rFonts w:ascii="Times New Roman" w:hAnsi="Times New Roman" w:cs="Times New Roman"/>
                <w:i/>
                <w:sz w:val="20"/>
                <w:szCs w:val="20"/>
                <w:lang w:val="sr-Cyrl-CS"/>
              </w:rPr>
              <w:t>5–15% укупн</w:t>
            </w:r>
            <w:r w:rsidR="005C7005" w:rsidRPr="001B11AB">
              <w:rPr>
                <w:rFonts w:ascii="Times New Roman" w:hAnsi="Times New Roman" w:cs="Times New Roman"/>
                <w:i/>
                <w:sz w:val="20"/>
                <w:szCs w:val="20"/>
                <w:lang w:val="sr-Cyrl-CS"/>
              </w:rPr>
              <w:t>их минималних</w:t>
            </w:r>
            <w:r w:rsidRPr="001B11AB">
              <w:rPr>
                <w:rFonts w:ascii="Times New Roman" w:hAnsi="Times New Roman" w:cs="Times New Roman"/>
                <w:i/>
                <w:sz w:val="20"/>
                <w:szCs w:val="20"/>
                <w:lang w:val="sr-Cyrl-CS"/>
              </w:rPr>
              <w:t xml:space="preserve"> регулаторн</w:t>
            </w:r>
            <w:r w:rsidR="005C7005" w:rsidRPr="001B11AB">
              <w:rPr>
                <w:rFonts w:ascii="Times New Roman" w:hAnsi="Times New Roman" w:cs="Times New Roman"/>
                <w:i/>
                <w:sz w:val="20"/>
                <w:szCs w:val="20"/>
                <w:lang w:val="sr-Cyrl-CS"/>
              </w:rPr>
              <w:t xml:space="preserve">их капиталних захтјева </w:t>
            </w:r>
            <w:r w:rsidR="00FF1F06" w:rsidRPr="001B11AB">
              <w:rPr>
                <w:rFonts w:ascii="Times New Roman" w:hAnsi="Times New Roman" w:cs="Times New Roman"/>
                <w:i/>
                <w:sz w:val="20"/>
                <w:szCs w:val="20"/>
                <w:lang w:val="sr-Cyrl-CS"/>
              </w:rPr>
              <w:t>за све остале значајне ризике</w:t>
            </w:r>
            <w:r w:rsidRPr="001B11AB">
              <w:rPr>
                <w:rFonts w:ascii="Times New Roman" w:hAnsi="Times New Roman" w:cs="Times New Roman"/>
                <w:i/>
                <w:sz w:val="20"/>
                <w:szCs w:val="20"/>
                <w:lang w:val="sr-Cyrl-CS"/>
              </w:rPr>
              <w:t>.</w:t>
            </w:r>
          </w:p>
          <w:p w14:paraId="446F89D5" w14:textId="1B22EB72"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Банка мора утврдити интерне капиталне захтјеве за покриће ризика репутације, профитабилности, стратешког ризика и ризика капитала, као и остале ризике, уколико утврди да је зна</w:t>
            </w:r>
            <w:r w:rsidR="00A84C83" w:rsidRPr="001B11AB">
              <w:rPr>
                <w:rFonts w:ascii="Times New Roman" w:eastAsiaTheme="minorHAnsi" w:hAnsi="Times New Roman" w:cs="Times New Roman"/>
                <w:i/>
                <w:sz w:val="20"/>
                <w:szCs w:val="20"/>
                <w:lang w:val="ru-RU"/>
              </w:rPr>
              <w:t>чајно</w:t>
            </w:r>
            <w:r w:rsidRPr="001B11AB">
              <w:rPr>
                <w:rFonts w:ascii="Times New Roman" w:eastAsiaTheme="minorHAnsi" w:hAnsi="Times New Roman" w:cs="Times New Roman"/>
                <w:i/>
                <w:sz w:val="20"/>
                <w:szCs w:val="20"/>
                <w:lang w:val="ru-RU"/>
              </w:rPr>
              <w:t xml:space="preserve"> изложена тим ризицима. </w:t>
            </w:r>
          </w:p>
          <w:p w14:paraId="060790AA" w14:textId="0B228464" w:rsidR="008C593A" w:rsidRPr="001B11AB" w:rsidRDefault="00A84C83"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Банка </w:t>
            </w:r>
            <w:r w:rsidR="008C593A" w:rsidRPr="001B11AB">
              <w:rPr>
                <w:rFonts w:ascii="Times New Roman" w:eastAsiaTheme="minorHAnsi" w:hAnsi="Times New Roman" w:cs="Times New Roman"/>
                <w:i/>
                <w:sz w:val="20"/>
                <w:szCs w:val="20"/>
                <w:lang w:val="ru-RU"/>
              </w:rPr>
              <w:t xml:space="preserve">процјењује: </w:t>
            </w:r>
          </w:p>
          <w:p w14:paraId="6B458CE4" w14:textId="3A6BC84D"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1) репутациони ризик, са становишта негативног јавног мишљења о банци, њеној пословној пракси и/или њеним пословним везама са клијентима које се могу одразити на губитак повјерења у тачност </w:t>
            </w:r>
            <w:r w:rsidR="00A87812" w:rsidRPr="001B11AB">
              <w:rPr>
                <w:rFonts w:ascii="Times New Roman" w:eastAsiaTheme="minorHAnsi" w:hAnsi="Times New Roman" w:cs="Times New Roman"/>
                <w:i/>
                <w:sz w:val="20"/>
                <w:szCs w:val="20"/>
                <w:lang w:val="ru-RU"/>
              </w:rPr>
              <w:t xml:space="preserve">резултата </w:t>
            </w:r>
            <w:r w:rsidRPr="001B11AB">
              <w:rPr>
                <w:rFonts w:ascii="Times New Roman" w:eastAsiaTheme="minorHAnsi" w:hAnsi="Times New Roman" w:cs="Times New Roman"/>
                <w:i/>
                <w:sz w:val="20"/>
                <w:szCs w:val="20"/>
                <w:lang w:val="ru-RU"/>
              </w:rPr>
              <w:t xml:space="preserve">пословања банке, односно њен морални интегритет, </w:t>
            </w:r>
          </w:p>
          <w:p w14:paraId="663AFD70" w14:textId="45186294"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2) ризик профитабилности, </w:t>
            </w:r>
            <w:r w:rsidR="00A84C83" w:rsidRPr="001B11AB">
              <w:rPr>
                <w:rFonts w:ascii="Times New Roman" w:eastAsiaTheme="minorHAnsi" w:hAnsi="Times New Roman" w:cs="Times New Roman"/>
                <w:i/>
                <w:sz w:val="20"/>
                <w:szCs w:val="20"/>
                <w:lang w:val="ru-RU"/>
              </w:rPr>
              <w:t>тј.</w:t>
            </w:r>
            <w:r w:rsidRPr="001B11AB">
              <w:rPr>
                <w:rFonts w:ascii="Times New Roman" w:eastAsiaTheme="minorHAnsi" w:hAnsi="Times New Roman" w:cs="Times New Roman"/>
                <w:i/>
                <w:sz w:val="20"/>
                <w:szCs w:val="20"/>
                <w:lang w:val="ru-RU"/>
              </w:rPr>
              <w:t xml:space="preserve"> зараде, са становишта интерних и екстерних фактора који могу негативно утицати на приходе банке, односно добит или губитак, а самим тим и адекватност капитала, </w:t>
            </w:r>
          </w:p>
          <w:p w14:paraId="0019A036" w14:textId="538A940B"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3) стратешки ризик, са становишта потенцијалних губитака који произилазе из неадекватних/погрешних пословних одлука, неодговарајуће имплементације донесених пословних одлука или недовољне/</w:t>
            </w:r>
            <w:r w:rsidR="007359F8" w:rsidRPr="001B11AB">
              <w:rPr>
                <w:rFonts w:ascii="Times New Roman" w:eastAsiaTheme="minorHAnsi" w:hAnsi="Times New Roman" w:cs="Times New Roman"/>
                <w:i/>
                <w:sz w:val="20"/>
                <w:szCs w:val="20"/>
                <w:lang w:val="ru-RU"/>
              </w:rPr>
              <w:t xml:space="preserve"> </w:t>
            </w:r>
            <w:r w:rsidRPr="001B11AB">
              <w:rPr>
                <w:rFonts w:ascii="Times New Roman" w:eastAsiaTheme="minorHAnsi" w:hAnsi="Times New Roman" w:cs="Times New Roman"/>
                <w:i/>
                <w:sz w:val="20"/>
                <w:szCs w:val="20"/>
                <w:lang w:val="ru-RU"/>
              </w:rPr>
              <w:t>неправовремене/</w:t>
            </w:r>
            <w:r w:rsidR="00A84C83" w:rsidRPr="001B11AB">
              <w:rPr>
                <w:rFonts w:ascii="Times New Roman" w:eastAsiaTheme="minorHAnsi" w:hAnsi="Times New Roman" w:cs="Times New Roman"/>
                <w:i/>
                <w:sz w:val="20"/>
                <w:szCs w:val="20"/>
                <w:lang w:val="ru-RU"/>
              </w:rPr>
              <w:t xml:space="preserve"> </w:t>
            </w:r>
            <w:r w:rsidRPr="001B11AB">
              <w:rPr>
                <w:rFonts w:ascii="Times New Roman" w:eastAsiaTheme="minorHAnsi" w:hAnsi="Times New Roman" w:cs="Times New Roman"/>
                <w:i/>
                <w:sz w:val="20"/>
                <w:szCs w:val="20"/>
                <w:lang w:val="ru-RU"/>
              </w:rPr>
              <w:t xml:space="preserve">неадекватне реакције на промјене у пословном окружењу и </w:t>
            </w:r>
          </w:p>
          <w:p w14:paraId="7223E805" w14:textId="4EF72DB9" w:rsidR="00234A25"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sr-Cyrl-BA"/>
              </w:rPr>
            </w:pPr>
            <w:r w:rsidRPr="001B11AB">
              <w:rPr>
                <w:rFonts w:ascii="Times New Roman" w:eastAsiaTheme="minorHAnsi" w:hAnsi="Times New Roman" w:cs="Times New Roman"/>
                <w:i/>
                <w:sz w:val="20"/>
                <w:szCs w:val="20"/>
                <w:lang w:val="ru-RU"/>
              </w:rPr>
              <w:t>4) ризик капитала, са становишта потенцијално неадекватне структуре капитала с обзиром на обим и начин пословања банке и потенцијалне потешкоће са којима би се могла суочити приликом прибављања нових извора, привлачења новог капитала, а посебно у случају нагле/</w:t>
            </w:r>
            <w:r w:rsidR="00A84C83" w:rsidRPr="001B11AB">
              <w:rPr>
                <w:rFonts w:ascii="Times New Roman" w:eastAsiaTheme="minorHAnsi" w:hAnsi="Times New Roman" w:cs="Times New Roman"/>
                <w:i/>
                <w:sz w:val="20"/>
                <w:szCs w:val="20"/>
                <w:lang w:val="ru-RU"/>
              </w:rPr>
              <w:t xml:space="preserve"> </w:t>
            </w:r>
            <w:r w:rsidRPr="001B11AB">
              <w:rPr>
                <w:rFonts w:ascii="Times New Roman" w:eastAsiaTheme="minorHAnsi" w:hAnsi="Times New Roman" w:cs="Times New Roman"/>
                <w:i/>
                <w:sz w:val="20"/>
                <w:szCs w:val="20"/>
                <w:lang w:val="ru-RU"/>
              </w:rPr>
              <w:t xml:space="preserve">ванредне потребе да се брзо пронађе додатни извор, </w:t>
            </w:r>
            <w:r w:rsidR="00A84C83" w:rsidRPr="001B11AB">
              <w:rPr>
                <w:rFonts w:ascii="Times New Roman" w:eastAsiaTheme="minorHAnsi" w:hAnsi="Times New Roman" w:cs="Times New Roman"/>
                <w:i/>
                <w:sz w:val="20"/>
                <w:szCs w:val="20"/>
                <w:lang w:val="ru-RU"/>
              </w:rPr>
              <w:t xml:space="preserve">тј. </w:t>
            </w:r>
            <w:r w:rsidRPr="001B11AB">
              <w:rPr>
                <w:rFonts w:ascii="Times New Roman" w:eastAsiaTheme="minorHAnsi" w:hAnsi="Times New Roman" w:cs="Times New Roman"/>
                <w:i/>
                <w:sz w:val="20"/>
                <w:szCs w:val="20"/>
                <w:lang w:val="ru-RU"/>
              </w:rPr>
              <w:t>повећа капитал банке</w:t>
            </w:r>
            <w:r w:rsidR="00A84C83" w:rsidRPr="001B11AB">
              <w:rPr>
                <w:rFonts w:ascii="Times New Roman" w:eastAsiaTheme="minorHAnsi" w:hAnsi="Times New Roman" w:cs="Times New Roman"/>
                <w:i/>
                <w:sz w:val="20"/>
                <w:szCs w:val="20"/>
                <w:lang w:val="ru-RU"/>
              </w:rPr>
              <w:t>,</w:t>
            </w:r>
            <w:r w:rsidRPr="001B11AB">
              <w:rPr>
                <w:rFonts w:ascii="Times New Roman" w:eastAsiaTheme="minorHAnsi" w:hAnsi="Times New Roman" w:cs="Times New Roman"/>
                <w:i/>
                <w:sz w:val="20"/>
                <w:szCs w:val="20"/>
                <w:lang w:val="ru-RU"/>
              </w:rPr>
              <w:t xml:space="preserve"> или у случају неповољних услова пословања.</w:t>
            </w:r>
          </w:p>
          <w:p w14:paraId="6688EEB1" w14:textId="11268B8C" w:rsidR="008C593A" w:rsidRPr="001B11AB" w:rsidRDefault="00A84C83" w:rsidP="00A84C83">
            <w:pPr>
              <w:autoSpaceDE w:val="0"/>
              <w:autoSpaceDN w:val="0"/>
              <w:adjustRightInd w:val="0"/>
              <w:spacing w:after="60"/>
              <w:jc w:val="both"/>
              <w:rPr>
                <w:rFonts w:ascii="Times New Roman" w:eastAsiaTheme="minorHAnsi" w:hAnsi="Times New Roman" w:cs="Times New Roman"/>
                <w:i/>
                <w:sz w:val="20"/>
                <w:szCs w:val="20"/>
                <w:lang w:val="sr-Cyrl-CS"/>
              </w:rPr>
            </w:pPr>
            <w:r w:rsidRPr="001B11AB">
              <w:rPr>
                <w:rFonts w:ascii="Times New Roman" w:eastAsiaTheme="minorHAnsi" w:hAnsi="Times New Roman" w:cs="Times New Roman"/>
                <w:i/>
                <w:sz w:val="20"/>
                <w:szCs w:val="20"/>
                <w:lang w:val="sr-Cyrl-BA"/>
              </w:rPr>
              <w:t>П</w:t>
            </w:r>
            <w:r w:rsidR="00234A25" w:rsidRPr="001B11AB">
              <w:rPr>
                <w:rFonts w:ascii="Times New Roman" w:eastAsiaTheme="minorHAnsi" w:hAnsi="Times New Roman" w:cs="Times New Roman"/>
                <w:i/>
                <w:sz w:val="20"/>
                <w:szCs w:val="20"/>
                <w:lang w:val="sr-Cyrl-BA"/>
              </w:rPr>
              <w:t xml:space="preserve">риликом утврђивања интерних капиталних захтјева за остале значајне ризике </w:t>
            </w:r>
            <w:r w:rsidRPr="001B11AB">
              <w:rPr>
                <w:rFonts w:ascii="Times New Roman" w:eastAsiaTheme="minorHAnsi" w:hAnsi="Times New Roman" w:cs="Times New Roman"/>
                <w:i/>
                <w:sz w:val="20"/>
                <w:szCs w:val="20"/>
                <w:lang w:val="sr-Cyrl-BA"/>
              </w:rPr>
              <w:t xml:space="preserve">банка не може </w:t>
            </w:r>
            <w:r w:rsidR="00234A25" w:rsidRPr="001B11AB">
              <w:rPr>
                <w:rFonts w:ascii="Times New Roman" w:eastAsiaTheme="minorHAnsi" w:hAnsi="Times New Roman" w:cs="Times New Roman"/>
                <w:i/>
                <w:sz w:val="20"/>
                <w:szCs w:val="20"/>
                <w:lang w:val="sr-Cyrl-BA"/>
              </w:rPr>
              <w:t>укључити ризике који су наведени у члану 8. став 3. ове одлуке.</w:t>
            </w:r>
            <w:r w:rsidR="008C593A" w:rsidRPr="001B11AB">
              <w:rPr>
                <w:rFonts w:ascii="Times New Roman" w:hAnsi="Times New Roman" w:cs="Times New Roman"/>
                <w:i/>
                <w:sz w:val="20"/>
                <w:szCs w:val="20"/>
                <w:lang w:val="sr-Cyrl-CS"/>
              </w:rPr>
              <w:t>]</w:t>
            </w:r>
            <w:r w:rsidR="00D51513" w:rsidRPr="001B11AB">
              <w:rPr>
                <w:rFonts w:ascii="Times New Roman" w:hAnsi="Times New Roman" w:cs="Times New Roman"/>
                <w:sz w:val="18"/>
                <w:szCs w:val="18"/>
                <w:lang w:val="sr-Cyrl-CS"/>
              </w:rPr>
              <w:t xml:space="preserve"> </w:t>
            </w:r>
          </w:p>
        </w:tc>
      </w:tr>
      <w:tr w:rsidR="005C6636" w:rsidRPr="001B11AB" w14:paraId="36D11928" w14:textId="77777777" w:rsidTr="00EC1920">
        <w:tc>
          <w:tcPr>
            <w:tcW w:w="9468" w:type="dxa"/>
            <w:gridSpan w:val="2"/>
            <w:shd w:val="clear" w:color="auto" w:fill="F2F2F2" w:themeFill="background1" w:themeFillShade="F2"/>
          </w:tcPr>
          <w:p w14:paraId="0028C318"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b/>
                <w:sz w:val="18"/>
                <w:szCs w:val="18"/>
                <w:lang w:val="ru-RU"/>
              </w:rPr>
            </w:pPr>
            <w:r w:rsidRPr="001B11AB">
              <w:rPr>
                <w:rFonts w:ascii="Times New Roman" w:hAnsi="Times New Roman" w:cs="Times New Roman"/>
                <w:b/>
                <w:sz w:val="18"/>
                <w:szCs w:val="18"/>
                <w:lang w:val="ru-RU"/>
              </w:rPr>
              <w:t>5.8.2.</w:t>
            </w:r>
            <w:r w:rsidR="0059493D" w:rsidRPr="001B11AB">
              <w:rPr>
                <w:rFonts w:ascii="Times New Roman" w:hAnsi="Times New Roman" w:cs="Times New Roman"/>
                <w:b/>
                <w:sz w:val="18"/>
                <w:szCs w:val="18"/>
                <w:lang w:val="ru-RU"/>
              </w:rPr>
              <w:t xml:space="preserve"> </w:t>
            </w:r>
            <w:r w:rsidRPr="001B11AB">
              <w:rPr>
                <w:rFonts w:ascii="Times New Roman" w:hAnsi="Times New Roman" w:cs="Times New Roman"/>
                <w:b/>
                <w:sz w:val="18"/>
                <w:szCs w:val="18"/>
                <w:lang w:val="ru-RU"/>
              </w:rPr>
              <w:t xml:space="preserve">Банка примјењује друге методе за израчунавање интерних капиталних захтјева за остале значајне ризике </w:t>
            </w:r>
          </w:p>
        </w:tc>
      </w:tr>
      <w:tr w:rsidR="005C6636" w:rsidRPr="001B11AB" w14:paraId="4A77BA2B" w14:textId="77777777" w:rsidTr="006F4726">
        <w:tc>
          <w:tcPr>
            <w:tcW w:w="9468" w:type="dxa"/>
            <w:gridSpan w:val="2"/>
            <w:shd w:val="clear" w:color="auto" w:fill="auto"/>
          </w:tcPr>
          <w:p w14:paraId="0EBED82C" w14:textId="77777777" w:rsidR="00E740BB" w:rsidRPr="001B11AB" w:rsidRDefault="00E740BB" w:rsidP="00897F23">
            <w:pPr>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sr-Cyrl-CS"/>
              </w:rPr>
              <w:t>[Банка описује основне претпоставке и начин мјерења сваког од осталих значајних ризика.]</w:t>
            </w:r>
            <w:r w:rsidR="00D51513" w:rsidRPr="001B11AB">
              <w:rPr>
                <w:rFonts w:ascii="Times New Roman" w:hAnsi="Times New Roman" w:cs="Times New Roman"/>
                <w:sz w:val="18"/>
                <w:szCs w:val="18"/>
                <w:lang w:val="sr-Cyrl-CS"/>
              </w:rPr>
              <w:t xml:space="preserve"> </w:t>
            </w:r>
          </w:p>
        </w:tc>
      </w:tr>
      <w:tr w:rsidR="005C6636" w:rsidRPr="001B11AB" w14:paraId="7219D814" w14:textId="77777777" w:rsidTr="006F4726">
        <w:tc>
          <w:tcPr>
            <w:tcW w:w="9468" w:type="dxa"/>
            <w:gridSpan w:val="2"/>
            <w:shd w:val="clear" w:color="auto" w:fill="auto"/>
          </w:tcPr>
          <w:p w14:paraId="6E2DE793" w14:textId="77777777" w:rsidR="00E740BB" w:rsidRPr="001B11AB" w:rsidRDefault="00E740BB" w:rsidP="00897F23">
            <w:pPr>
              <w:pStyle w:val="Default"/>
              <w:spacing w:after="60"/>
              <w:jc w:val="both"/>
              <w:rPr>
                <w:rFonts w:ascii="Times New Roman" w:hAnsi="Times New Roman" w:cs="Times New Roman"/>
                <w:iCs/>
                <w:color w:val="auto"/>
                <w:sz w:val="16"/>
                <w:szCs w:val="16"/>
              </w:rPr>
            </w:pPr>
            <w:r w:rsidRPr="001B11AB">
              <w:rPr>
                <w:rFonts w:ascii="Times New Roman" w:hAnsi="Times New Roman" w:cs="Times New Roman"/>
                <w:i/>
                <w:color w:val="auto"/>
                <w:sz w:val="20"/>
                <w:szCs w:val="20"/>
                <w:lang w:val="sr-Cyrl-CS"/>
              </w:rPr>
              <w:t>[Банка наводи интерне акте којима је детаљно прописана методологија процјене интерних капиталних захтјева за сваки од осталих значајних ризика.]</w:t>
            </w:r>
            <w:r w:rsidR="0059493D" w:rsidRPr="001B11AB">
              <w:rPr>
                <w:rFonts w:ascii="Times New Roman" w:hAnsi="Times New Roman" w:cs="Times New Roman"/>
                <w:color w:val="auto"/>
                <w:sz w:val="18"/>
                <w:szCs w:val="18"/>
                <w:lang w:val="sr-Cyrl-CS"/>
              </w:rPr>
              <w:t xml:space="preserve"> </w:t>
            </w:r>
          </w:p>
        </w:tc>
      </w:tr>
      <w:tr w:rsidR="005C6636" w:rsidRPr="001B11AB" w14:paraId="1F99EA3A" w14:textId="77777777" w:rsidTr="00EC1920">
        <w:tc>
          <w:tcPr>
            <w:tcW w:w="9468" w:type="dxa"/>
            <w:gridSpan w:val="2"/>
            <w:shd w:val="clear" w:color="auto" w:fill="F2F2F2" w:themeFill="background1" w:themeFillShade="F2"/>
          </w:tcPr>
          <w:p w14:paraId="648363D6" w14:textId="7029FA89"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b/>
                <w:sz w:val="18"/>
                <w:szCs w:val="18"/>
                <w:lang w:val="ru-RU"/>
              </w:rPr>
              <w:t xml:space="preserve">5.8.3. </w:t>
            </w:r>
            <w:r w:rsidRPr="001B11AB">
              <w:rPr>
                <w:rFonts w:ascii="Times New Roman" w:hAnsi="Times New Roman" w:cs="Times New Roman"/>
                <w:b/>
                <w:sz w:val="20"/>
                <w:szCs w:val="20"/>
                <w:lang w:val="ru-RU"/>
              </w:rPr>
              <w:t>Приликом израчунавања интерних капиталних захтјева за остале значајне ризике потребно је укључити процјену засновану</w:t>
            </w:r>
            <w:r w:rsidR="00A84C83" w:rsidRPr="001B11AB">
              <w:rPr>
                <w:rFonts w:ascii="Times New Roman" w:hAnsi="Times New Roman" w:cs="Times New Roman"/>
                <w:b/>
                <w:sz w:val="20"/>
                <w:szCs w:val="20"/>
                <w:lang w:val="ru-RU"/>
              </w:rPr>
              <w:t xml:space="preserve"> на резултатима стрес тестирања</w:t>
            </w:r>
            <w:r w:rsidRPr="001B11AB">
              <w:rPr>
                <w:rFonts w:ascii="Times New Roman" w:hAnsi="Times New Roman" w:cs="Times New Roman"/>
                <w:b/>
                <w:sz w:val="20"/>
                <w:szCs w:val="20"/>
                <w:lang w:val="ru-RU"/>
              </w:rPr>
              <w:t xml:space="preserve"> те детаљно описати методологију, претпоставке и начин израчунавања.</w:t>
            </w:r>
            <w:r w:rsidR="00D51513" w:rsidRPr="001B11AB">
              <w:rPr>
                <w:rFonts w:ascii="Times New Roman" w:hAnsi="Times New Roman" w:cs="Times New Roman"/>
                <w:b/>
                <w:sz w:val="20"/>
                <w:szCs w:val="20"/>
                <w:lang w:val="sr-Cyrl-CS"/>
              </w:rPr>
              <w:t xml:space="preserve"> </w:t>
            </w:r>
          </w:p>
        </w:tc>
      </w:tr>
    </w:tbl>
    <w:p w14:paraId="6EBB729B" w14:textId="77777777" w:rsidR="00E740BB" w:rsidRPr="001B11AB" w:rsidRDefault="00E740BB" w:rsidP="00897F23">
      <w:pPr>
        <w:spacing w:after="0" w:line="240" w:lineRule="auto"/>
        <w:jc w:val="both"/>
        <w:rPr>
          <w:rFonts w:ascii="Times New Roman" w:hAnsi="Times New Roman" w:cs="Times New Roman"/>
          <w:lang w:val="ru-RU"/>
        </w:rPr>
      </w:pPr>
    </w:p>
    <w:tbl>
      <w:tblPr>
        <w:tblStyle w:val="TableGrid"/>
        <w:tblW w:w="9468" w:type="dxa"/>
        <w:tblLook w:val="04A0" w:firstRow="1" w:lastRow="0" w:firstColumn="1" w:lastColumn="0" w:noHBand="0" w:noVBand="1"/>
      </w:tblPr>
      <w:tblGrid>
        <w:gridCol w:w="9468"/>
      </w:tblGrid>
      <w:tr w:rsidR="005C6636" w:rsidRPr="001B11AB" w14:paraId="3A6A0545" w14:textId="77777777" w:rsidTr="00EC1920">
        <w:tc>
          <w:tcPr>
            <w:tcW w:w="9468" w:type="dxa"/>
            <w:tcBorders>
              <w:bottom w:val="single" w:sz="4" w:space="0" w:color="auto"/>
            </w:tcBorders>
            <w:shd w:val="clear" w:color="auto" w:fill="F2F2F2" w:themeFill="background1" w:themeFillShade="F2"/>
          </w:tcPr>
          <w:p w14:paraId="2828A5B6" w14:textId="77777777" w:rsidR="00E740BB" w:rsidRPr="001B11AB" w:rsidRDefault="00E740BB" w:rsidP="00897F23">
            <w:pPr>
              <w:jc w:val="both"/>
              <w:rPr>
                <w:rFonts w:ascii="Times New Roman" w:hAnsi="Times New Roman" w:cs="Times New Roman"/>
                <w:sz w:val="20"/>
                <w:szCs w:val="20"/>
                <w:lang w:val="ru-RU"/>
              </w:rPr>
            </w:pPr>
            <w:r w:rsidRPr="001B11AB">
              <w:rPr>
                <w:rFonts w:ascii="Times New Roman" w:hAnsi="Times New Roman" w:cs="Times New Roman"/>
                <w:b/>
                <w:sz w:val="20"/>
                <w:szCs w:val="20"/>
                <w:lang w:val="ru-RU"/>
              </w:rPr>
              <w:t xml:space="preserve">5.9. Методологија процјене вањских фактора и стрес тестирање </w:t>
            </w:r>
          </w:p>
        </w:tc>
      </w:tr>
      <w:tr w:rsidR="005C6636" w:rsidRPr="001B11AB" w14:paraId="3E83374B" w14:textId="77777777" w:rsidTr="006F4726">
        <w:tc>
          <w:tcPr>
            <w:tcW w:w="9468" w:type="dxa"/>
            <w:shd w:val="clear" w:color="auto" w:fill="auto"/>
          </w:tcPr>
          <w:p w14:paraId="1058ECDB" w14:textId="02005917" w:rsidR="00E740BB" w:rsidRPr="001B11AB" w:rsidRDefault="00E740BB" w:rsidP="00897F23">
            <w:pPr>
              <w:widowControl w:val="0"/>
              <w:overflowPunct w:val="0"/>
              <w:autoSpaceDE w:val="0"/>
              <w:autoSpaceDN w:val="0"/>
              <w:adjustRightInd w:val="0"/>
              <w:jc w:val="both"/>
              <w:rPr>
                <w:rFonts w:ascii="Times New Roman" w:hAnsi="Times New Roman" w:cs="Times New Roman"/>
                <w:sz w:val="16"/>
                <w:szCs w:val="16"/>
                <w:lang w:val="sr-Cyrl-CS"/>
              </w:rPr>
            </w:pPr>
            <w:r w:rsidRPr="001B11AB">
              <w:rPr>
                <w:rFonts w:ascii="Times New Roman" w:hAnsi="Times New Roman" w:cs="Times New Roman"/>
                <w:i/>
                <w:sz w:val="20"/>
                <w:szCs w:val="20"/>
                <w:lang w:val="sr-Cyrl-CS"/>
              </w:rPr>
              <w:t>[Банка наводи које вањске фак</w:t>
            </w:r>
            <w:r w:rsidR="00A84C83" w:rsidRPr="001B11AB">
              <w:rPr>
                <w:rFonts w:ascii="Times New Roman" w:hAnsi="Times New Roman" w:cs="Times New Roman"/>
                <w:i/>
                <w:sz w:val="20"/>
                <w:szCs w:val="20"/>
                <w:lang w:val="sr-Cyrl-CS"/>
              </w:rPr>
              <w:t>торе анализира у оквиру ICAAP-а</w:t>
            </w:r>
            <w:r w:rsidRPr="001B11AB">
              <w:rPr>
                <w:rFonts w:ascii="Times New Roman" w:hAnsi="Times New Roman" w:cs="Times New Roman"/>
                <w:i/>
                <w:sz w:val="20"/>
                <w:szCs w:val="20"/>
                <w:lang w:val="sr-Cyrl-CS"/>
              </w:rPr>
              <w:t xml:space="preserve"> те начин на који су ти фактори укључени у ICAAP.]</w:t>
            </w:r>
            <w:r w:rsidR="00D51513" w:rsidRPr="001B11AB">
              <w:rPr>
                <w:rFonts w:ascii="Times New Roman" w:hAnsi="Times New Roman" w:cs="Times New Roman"/>
                <w:sz w:val="18"/>
                <w:szCs w:val="18"/>
                <w:lang w:val="sr-Cyrl-CS"/>
              </w:rPr>
              <w:t xml:space="preserve"> </w:t>
            </w:r>
          </w:p>
        </w:tc>
      </w:tr>
      <w:tr w:rsidR="005C6636" w:rsidRPr="001B11AB" w14:paraId="04DB7C28" w14:textId="77777777" w:rsidTr="006F4726">
        <w:tc>
          <w:tcPr>
            <w:tcW w:w="9468" w:type="dxa"/>
            <w:shd w:val="clear" w:color="auto" w:fill="auto"/>
          </w:tcPr>
          <w:p w14:paraId="4AED18C1" w14:textId="1251DA3C" w:rsidR="00E740BB" w:rsidRPr="001B11AB" w:rsidRDefault="00E740BB" w:rsidP="00897F23">
            <w:pPr>
              <w:jc w:val="both"/>
              <w:rPr>
                <w:rFonts w:ascii="Times New Roman" w:hAnsi="Times New Roman" w:cs="Times New Roman"/>
                <w:sz w:val="18"/>
                <w:szCs w:val="18"/>
                <w:lang w:val="sr-Cyrl-CS"/>
              </w:rPr>
            </w:pPr>
            <w:r w:rsidRPr="001B11AB">
              <w:rPr>
                <w:rFonts w:ascii="Times New Roman" w:hAnsi="Times New Roman" w:cs="Times New Roman"/>
                <w:i/>
                <w:sz w:val="20"/>
                <w:szCs w:val="20"/>
                <w:lang w:val="sr-Cyrl-CS"/>
              </w:rPr>
              <w:t>[Банка наводи интерне акте којима је детаљно прописан поступак процјене и</w:t>
            </w:r>
            <w:r w:rsidR="00A84C83" w:rsidRPr="001B11AB">
              <w:rPr>
                <w:rFonts w:ascii="Times New Roman" w:hAnsi="Times New Roman" w:cs="Times New Roman"/>
                <w:i/>
                <w:sz w:val="20"/>
                <w:szCs w:val="20"/>
                <w:lang w:val="sr-Cyrl-CS"/>
              </w:rPr>
              <w:t xml:space="preserve"> избора кључних вањских фактора</w:t>
            </w:r>
            <w:r w:rsidRPr="001B11AB">
              <w:rPr>
                <w:rFonts w:ascii="Times New Roman" w:hAnsi="Times New Roman" w:cs="Times New Roman"/>
                <w:i/>
                <w:sz w:val="20"/>
                <w:szCs w:val="20"/>
                <w:lang w:val="sr-Cyrl-CS"/>
              </w:rPr>
              <w:t xml:space="preserve"> те начин њиховог укључивања у ICAAP.]</w:t>
            </w:r>
          </w:p>
        </w:tc>
      </w:tr>
      <w:tr w:rsidR="005C6636" w:rsidRPr="001B11AB" w14:paraId="1899A814" w14:textId="77777777" w:rsidTr="006F4726">
        <w:tc>
          <w:tcPr>
            <w:tcW w:w="9468" w:type="dxa"/>
            <w:shd w:val="clear" w:color="auto" w:fill="auto"/>
          </w:tcPr>
          <w:p w14:paraId="7336CE6A" w14:textId="77777777" w:rsidR="00E740BB" w:rsidRPr="001B11AB" w:rsidRDefault="00E740BB" w:rsidP="00897F23">
            <w:pPr>
              <w:jc w:val="both"/>
              <w:rPr>
                <w:rFonts w:ascii="Times New Roman" w:hAnsi="Times New Roman" w:cs="Times New Roman"/>
                <w:sz w:val="18"/>
                <w:szCs w:val="18"/>
                <w:lang w:val="ru-RU"/>
              </w:rPr>
            </w:pPr>
            <w:r w:rsidRPr="001B11AB">
              <w:rPr>
                <w:rFonts w:ascii="Times New Roman" w:hAnsi="Times New Roman" w:cs="Times New Roman"/>
                <w:i/>
                <w:sz w:val="20"/>
                <w:szCs w:val="20"/>
                <w:lang w:val="sr-Cyrl-CS"/>
              </w:rPr>
              <w:t>[Банка наводи интерне акте којима је детаљно прописана методологија стрес тестирања.]</w:t>
            </w:r>
          </w:p>
        </w:tc>
      </w:tr>
    </w:tbl>
    <w:p w14:paraId="127800C7" w14:textId="77777777" w:rsidR="00D20866" w:rsidRPr="001B11AB" w:rsidRDefault="00D20866" w:rsidP="007F05FD">
      <w:pPr>
        <w:spacing w:after="0" w:line="240" w:lineRule="auto"/>
        <w:rPr>
          <w:rFonts w:ascii="Times New Roman" w:hAnsi="Times New Roman" w:cs="Times New Roman"/>
          <w:lang w:val="sr-Cyrl-BA"/>
        </w:rPr>
        <w:sectPr w:rsidR="00D20866" w:rsidRPr="001B11AB" w:rsidSect="009A2B93">
          <w:pgSz w:w="11907" w:h="16840" w:code="9"/>
          <w:pgMar w:top="1418" w:right="1134" w:bottom="1134" w:left="1418" w:header="510" w:footer="397" w:gutter="0"/>
          <w:cols w:space="708"/>
          <w:docGrid w:linePitch="360"/>
        </w:sectPr>
      </w:pPr>
    </w:p>
    <w:p w14:paraId="4196E408" w14:textId="2EAE215C" w:rsidR="00E740BB" w:rsidRPr="001B11AB" w:rsidRDefault="00E740BB" w:rsidP="003B73A4">
      <w:pPr>
        <w:pStyle w:val="Heading2"/>
        <w:numPr>
          <w:ilvl w:val="0"/>
          <w:numId w:val="27"/>
        </w:numPr>
        <w:spacing w:before="0" w:line="240" w:lineRule="auto"/>
        <w:ind w:left="567" w:hanging="283"/>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lastRenderedPageBreak/>
        <w:t xml:space="preserve">ПОСТУПАК ПОРЕЂЕЊА </w:t>
      </w:r>
    </w:p>
    <w:p w14:paraId="10481FCD" w14:textId="77777777" w:rsidR="00D20866" w:rsidRPr="001B11AB" w:rsidRDefault="00D20866" w:rsidP="00D20866">
      <w:pPr>
        <w:spacing w:after="0" w:line="240" w:lineRule="auto"/>
        <w:rPr>
          <w:lang w:val="ru-RU"/>
        </w:rPr>
      </w:pPr>
    </w:p>
    <w:tbl>
      <w:tblPr>
        <w:tblStyle w:val="TableGrid"/>
        <w:tblW w:w="9468" w:type="dxa"/>
        <w:tblLook w:val="04A0" w:firstRow="1" w:lastRow="0" w:firstColumn="1" w:lastColumn="0" w:noHBand="0" w:noVBand="1"/>
      </w:tblPr>
      <w:tblGrid>
        <w:gridCol w:w="9468"/>
      </w:tblGrid>
      <w:tr w:rsidR="005C6636" w:rsidRPr="001B11AB" w14:paraId="06F86FA4" w14:textId="77777777" w:rsidTr="00EC1920">
        <w:tc>
          <w:tcPr>
            <w:tcW w:w="9468" w:type="dxa"/>
            <w:tcBorders>
              <w:bottom w:val="single" w:sz="4" w:space="0" w:color="auto"/>
            </w:tcBorders>
            <w:shd w:val="clear" w:color="auto" w:fill="F2F2F2" w:themeFill="background1" w:themeFillShade="F2"/>
          </w:tcPr>
          <w:p w14:paraId="54B6E192" w14:textId="77777777" w:rsidR="00E740BB" w:rsidRPr="001B11AB" w:rsidRDefault="00E740BB" w:rsidP="00897F23">
            <w:pPr>
              <w:spacing w:after="60"/>
              <w:jc w:val="both"/>
              <w:rPr>
                <w:rFonts w:ascii="Times New Roman" w:hAnsi="Times New Roman" w:cs="Times New Roman"/>
                <w:sz w:val="20"/>
                <w:szCs w:val="20"/>
                <w:lang w:val="ru-RU"/>
              </w:rPr>
            </w:pPr>
            <w:r w:rsidRPr="001B11AB">
              <w:rPr>
                <w:rFonts w:ascii="Times New Roman" w:hAnsi="Times New Roman" w:cs="Times New Roman"/>
                <w:b/>
                <w:sz w:val="20"/>
                <w:szCs w:val="20"/>
                <w:lang w:val="hr-HR"/>
              </w:rPr>
              <w:t>6.</w:t>
            </w:r>
            <w:r w:rsidRPr="001B11AB">
              <w:rPr>
                <w:rFonts w:ascii="Times New Roman" w:hAnsi="Times New Roman" w:cs="Times New Roman"/>
                <w:b/>
                <w:sz w:val="20"/>
                <w:szCs w:val="20"/>
                <w:lang w:val="ru-RU"/>
              </w:rPr>
              <w:t>1.</w:t>
            </w:r>
            <w:r w:rsidRPr="001B11AB">
              <w:rPr>
                <w:rFonts w:ascii="Times New Roman" w:hAnsi="Times New Roman" w:cs="Times New Roman"/>
                <w:b/>
                <w:sz w:val="20"/>
                <w:szCs w:val="20"/>
                <w:lang w:val="hr-HR"/>
              </w:rPr>
              <w:t xml:space="preserve"> </w:t>
            </w:r>
            <w:r w:rsidRPr="001B11AB">
              <w:rPr>
                <w:rFonts w:ascii="Times New Roman" w:hAnsi="Times New Roman" w:cs="Times New Roman"/>
                <w:b/>
                <w:bCs/>
                <w:sz w:val="20"/>
                <w:szCs w:val="20"/>
                <w:lang w:val="ru-RU"/>
              </w:rPr>
              <w:t>Поређење капитала и капиталних захтјева</w:t>
            </w:r>
          </w:p>
        </w:tc>
      </w:tr>
      <w:tr w:rsidR="005C6636" w:rsidRPr="001B11AB" w14:paraId="74ED29CC" w14:textId="77777777" w:rsidTr="006F4726">
        <w:tc>
          <w:tcPr>
            <w:tcW w:w="9468" w:type="dxa"/>
            <w:shd w:val="clear" w:color="auto" w:fill="auto"/>
          </w:tcPr>
          <w:p w14:paraId="03DF92A4"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i/>
                <w:sz w:val="20"/>
                <w:szCs w:val="20"/>
                <w:lang w:val="sr-Cyrl-CS"/>
              </w:rPr>
            </w:pPr>
            <w:r w:rsidRPr="001B11AB">
              <w:rPr>
                <w:rFonts w:ascii="Times New Roman" w:hAnsi="Times New Roman" w:cs="Times New Roman"/>
                <w:i/>
                <w:sz w:val="20"/>
                <w:szCs w:val="20"/>
                <w:lang w:val="sr-Cyrl-CS"/>
              </w:rPr>
              <w:t>[Банка попуњава Табелу 4, а додатно образлаже разлике између:</w:t>
            </w:r>
            <w:r w:rsidR="00D51513" w:rsidRPr="001B11AB">
              <w:rPr>
                <w:rFonts w:ascii="Times New Roman" w:hAnsi="Times New Roman" w:cs="Times New Roman"/>
                <w:i/>
                <w:sz w:val="20"/>
                <w:szCs w:val="20"/>
                <w:lang w:val="sr-Cyrl-CS"/>
              </w:rPr>
              <w:t xml:space="preserve"> </w:t>
            </w:r>
          </w:p>
          <w:p w14:paraId="33094990" w14:textId="792AAC8A" w:rsidR="00E740BB" w:rsidRPr="001B11AB" w:rsidRDefault="00E740BB" w:rsidP="00897F23">
            <w:pPr>
              <w:spacing w:after="60"/>
              <w:jc w:val="both"/>
              <w:rPr>
                <w:rFonts w:ascii="Times New Roman" w:hAnsi="Times New Roman" w:cs="Times New Roman"/>
                <w:b/>
                <w:i/>
                <w:sz w:val="20"/>
                <w:szCs w:val="20"/>
                <w:lang w:val="sr-Cyrl-CS"/>
              </w:rPr>
            </w:pPr>
            <w:r w:rsidRPr="001B11AB">
              <w:rPr>
                <w:rFonts w:ascii="Times New Roman" w:hAnsi="Times New Roman" w:cs="Times New Roman"/>
                <w:bCs/>
                <w:sz w:val="16"/>
                <w:szCs w:val="16"/>
                <w:lang w:val="ru-RU"/>
              </w:rPr>
              <w:t xml:space="preserve"> </w:t>
            </w:r>
            <w:r w:rsidRPr="001B11AB">
              <w:rPr>
                <w:rFonts w:ascii="Times New Roman" w:hAnsi="Times New Roman" w:cs="Times New Roman"/>
                <w:i/>
                <w:sz w:val="20"/>
                <w:szCs w:val="20"/>
                <w:lang w:val="sr-Cyrl-CS"/>
              </w:rPr>
              <w:t xml:space="preserve">- </w:t>
            </w:r>
            <w:r w:rsidRPr="001B11AB">
              <w:rPr>
                <w:rFonts w:ascii="Times New Roman" w:hAnsi="Times New Roman" w:cs="Times New Roman"/>
                <w:b/>
                <w:i/>
                <w:sz w:val="20"/>
                <w:szCs w:val="20"/>
                <w:lang w:val="sr-Cyrl-CS"/>
              </w:rPr>
              <w:t>расположивог и регулаторног капитала</w:t>
            </w:r>
            <w:r w:rsidRPr="001B11AB">
              <w:rPr>
                <w:rFonts w:ascii="Times New Roman" w:hAnsi="Times New Roman" w:cs="Times New Roman"/>
                <w:i/>
                <w:sz w:val="20"/>
                <w:szCs w:val="20"/>
                <w:lang w:val="sr-Cyrl-CS"/>
              </w:rPr>
              <w:t>,</w:t>
            </w:r>
            <w:r w:rsidRPr="001B11AB">
              <w:rPr>
                <w:rFonts w:ascii="Times New Roman" w:hAnsi="Times New Roman" w:cs="Times New Roman"/>
                <w:b/>
                <w:i/>
                <w:sz w:val="20"/>
                <w:szCs w:val="20"/>
                <w:lang w:val="sr-Cyrl-CS"/>
              </w:rPr>
              <w:t xml:space="preserve"> </w:t>
            </w:r>
            <w:r w:rsidRPr="001B11AB">
              <w:rPr>
                <w:rFonts w:ascii="Times New Roman" w:hAnsi="Times New Roman" w:cs="Times New Roman"/>
                <w:i/>
                <w:sz w:val="20"/>
                <w:szCs w:val="20"/>
                <w:lang w:val="sr-Cyrl-CS"/>
              </w:rPr>
              <w:t>с циљем идентификовања ставки капитала које се могу искористити за покриће губитака, али нису укључене у регулаторни капитал на датум извјештавања (нпр. добит текуће године прије доношења одлуке надлежног органа о расподјели добити или добијања сагласности Агенције за укључивање те ставке уз испуњење услова прописаних Одлуком</w:t>
            </w:r>
            <w:r w:rsidR="005F4AE8" w:rsidRPr="001B11AB">
              <w:rPr>
                <w:rFonts w:ascii="Times New Roman" w:hAnsi="Times New Roman" w:cs="Times New Roman"/>
                <w:i/>
                <w:sz w:val="20"/>
                <w:szCs w:val="20"/>
                <w:lang w:val="sr-Cyrl-CS"/>
              </w:rPr>
              <w:t xml:space="preserve"> о израчунавању капитала банака</w:t>
            </w:r>
            <w:r w:rsidRPr="001B11AB">
              <w:rPr>
                <w:rFonts w:ascii="Times New Roman" w:hAnsi="Times New Roman" w:cs="Times New Roman"/>
                <w:i/>
                <w:sz w:val="20"/>
                <w:szCs w:val="20"/>
                <w:lang w:val="sr-Cyrl-CS"/>
              </w:rPr>
              <w:t>)</w:t>
            </w:r>
            <w:r w:rsidR="005F4AE8"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 xml:space="preserve"> </w:t>
            </w:r>
          </w:p>
          <w:p w14:paraId="0657E4B2" w14:textId="5612CD99" w:rsidR="00E740BB" w:rsidRPr="001B11AB" w:rsidRDefault="00E740BB" w:rsidP="005463B4">
            <w:pPr>
              <w:spacing w:after="60"/>
              <w:jc w:val="both"/>
              <w:rPr>
                <w:rFonts w:ascii="Times New Roman" w:hAnsi="Times New Roman" w:cs="Times New Roman"/>
                <w:b/>
                <w:i/>
                <w:sz w:val="20"/>
                <w:szCs w:val="20"/>
                <w:lang w:val="ru-RU"/>
              </w:rPr>
            </w:pPr>
            <w:r w:rsidRPr="001B11AB">
              <w:rPr>
                <w:rFonts w:ascii="Times New Roman" w:hAnsi="Times New Roman" w:cs="Times New Roman"/>
                <w:i/>
                <w:sz w:val="20"/>
                <w:szCs w:val="20"/>
                <w:lang w:val="sr-Cyrl-CS"/>
              </w:rPr>
              <w:t xml:space="preserve">- </w:t>
            </w:r>
            <w:r w:rsidRPr="001B11AB">
              <w:rPr>
                <w:rFonts w:ascii="Times New Roman" w:hAnsi="Times New Roman" w:cs="Times New Roman"/>
                <w:b/>
                <w:i/>
                <w:spacing w:val="-4"/>
                <w:sz w:val="20"/>
                <w:szCs w:val="20"/>
                <w:lang w:val="ru-RU"/>
              </w:rPr>
              <w:t xml:space="preserve">капиталних захтјева за појединачне ризике израчунате у складу са Одлуком </w:t>
            </w:r>
            <w:r w:rsidR="005463B4" w:rsidRPr="001B11AB">
              <w:rPr>
                <w:rFonts w:ascii="Times New Roman" w:hAnsi="Times New Roman" w:cs="Times New Roman"/>
                <w:b/>
                <w:i/>
                <w:spacing w:val="-4"/>
                <w:sz w:val="20"/>
                <w:szCs w:val="20"/>
                <w:lang w:val="ru-RU"/>
              </w:rPr>
              <w:t>о</w:t>
            </w:r>
            <w:r w:rsidRPr="001B11AB">
              <w:rPr>
                <w:rFonts w:ascii="Times New Roman" w:hAnsi="Times New Roman" w:cs="Times New Roman"/>
                <w:b/>
                <w:i/>
                <w:spacing w:val="-4"/>
                <w:sz w:val="20"/>
                <w:szCs w:val="20"/>
                <w:lang w:val="ru-RU"/>
              </w:rPr>
              <w:t xml:space="preserve"> израчунавањ</w:t>
            </w:r>
            <w:r w:rsidR="005463B4" w:rsidRPr="001B11AB">
              <w:rPr>
                <w:rFonts w:ascii="Times New Roman" w:hAnsi="Times New Roman" w:cs="Times New Roman"/>
                <w:b/>
                <w:i/>
                <w:spacing w:val="-4"/>
                <w:sz w:val="20"/>
                <w:szCs w:val="20"/>
                <w:lang w:val="ru-RU"/>
              </w:rPr>
              <w:t xml:space="preserve">у </w:t>
            </w:r>
            <w:r w:rsidRPr="001B11AB">
              <w:rPr>
                <w:rFonts w:ascii="Times New Roman" w:hAnsi="Times New Roman" w:cs="Times New Roman"/>
                <w:b/>
                <w:i/>
                <w:spacing w:val="-4"/>
                <w:sz w:val="20"/>
                <w:szCs w:val="20"/>
                <w:lang w:val="ru-RU"/>
              </w:rPr>
              <w:t>капитала банака и интерних капиталних захтјева за појединачне ризике утврђених у оквиру ICAAP-а.</w:t>
            </w:r>
            <w:r w:rsidRPr="001B11AB">
              <w:rPr>
                <w:rFonts w:ascii="Times New Roman" w:hAnsi="Times New Roman" w:cs="Times New Roman"/>
                <w:i/>
                <w:spacing w:val="-4"/>
                <w:sz w:val="20"/>
                <w:szCs w:val="20"/>
                <w:lang w:val="sr-Cyrl-CS"/>
              </w:rPr>
              <w:t>]</w:t>
            </w:r>
          </w:p>
        </w:tc>
      </w:tr>
    </w:tbl>
    <w:p w14:paraId="49696C99" w14:textId="77777777" w:rsidR="00093B08" w:rsidRPr="001B11AB" w:rsidRDefault="00093B08" w:rsidP="007F05FD">
      <w:pPr>
        <w:spacing w:after="0" w:line="240" w:lineRule="auto"/>
        <w:ind w:left="993" w:hanging="1135"/>
        <w:jc w:val="both"/>
        <w:rPr>
          <w:rFonts w:ascii="Times New Roman" w:hAnsi="Times New Roman" w:cs="Times New Roman"/>
          <w:b/>
          <w:bCs/>
          <w:sz w:val="20"/>
          <w:szCs w:val="20"/>
          <w:lang w:val="ru-RU"/>
        </w:rPr>
      </w:pPr>
    </w:p>
    <w:p w14:paraId="6C77FC3A" w14:textId="77777777" w:rsidR="00E740BB" w:rsidRPr="001B11AB" w:rsidRDefault="00E740BB" w:rsidP="00897F23">
      <w:pPr>
        <w:spacing w:line="240" w:lineRule="auto"/>
        <w:ind w:left="993" w:hanging="1135"/>
        <w:jc w:val="both"/>
        <w:rPr>
          <w:rFonts w:ascii="Times New Roman" w:hAnsi="Times New Roman" w:cs="Times New Roman"/>
          <w:b/>
          <w:bCs/>
          <w:sz w:val="20"/>
          <w:szCs w:val="20"/>
          <w:lang w:val="ru-RU"/>
        </w:rPr>
      </w:pPr>
      <w:r w:rsidRPr="001B11AB">
        <w:rPr>
          <w:rFonts w:ascii="Times New Roman" w:hAnsi="Times New Roman" w:cs="Times New Roman"/>
          <w:b/>
          <w:bCs/>
          <w:sz w:val="20"/>
          <w:szCs w:val="20"/>
          <w:lang w:val="ru-RU"/>
        </w:rPr>
        <w:t xml:space="preserve"> Табела 4</w:t>
      </w:r>
      <w:r w:rsidR="00E92210" w:rsidRPr="001B11AB">
        <w:rPr>
          <w:rFonts w:ascii="Times New Roman" w:hAnsi="Times New Roman" w:cs="Times New Roman"/>
          <w:b/>
          <w:bCs/>
          <w:sz w:val="20"/>
          <w:szCs w:val="20"/>
          <w:lang w:val="ru-RU"/>
        </w:rPr>
        <w:t>.</w:t>
      </w:r>
      <w:r w:rsidR="00D51513" w:rsidRPr="001B11AB">
        <w:rPr>
          <w:rFonts w:ascii="Times New Roman" w:hAnsi="Times New Roman" w:cs="Times New Roman"/>
          <w:b/>
          <w:bCs/>
          <w:sz w:val="20"/>
          <w:szCs w:val="20"/>
          <w:lang w:val="ru-RU"/>
        </w:rPr>
        <w:t xml:space="preserve"> </w:t>
      </w:r>
      <w:r w:rsidRPr="001B11AB">
        <w:rPr>
          <w:rFonts w:ascii="Times New Roman" w:hAnsi="Times New Roman" w:cs="Times New Roman"/>
          <w:b/>
          <w:bCs/>
          <w:sz w:val="20"/>
          <w:szCs w:val="20"/>
          <w:lang w:val="ru-RU"/>
        </w:rPr>
        <w:t>Капитални захтјеви у складу са Одлуком о израчунавању капитала банака и интерни капитални захтјеви у складу са резултатима ICAAP-a</w:t>
      </w:r>
    </w:p>
    <w:tbl>
      <w:tblPr>
        <w:tblStyle w:val="TableGrid"/>
        <w:tblW w:w="9504" w:type="dxa"/>
        <w:tblLook w:val="04A0" w:firstRow="1" w:lastRow="0" w:firstColumn="1" w:lastColumn="0" w:noHBand="0" w:noVBand="1"/>
      </w:tblPr>
      <w:tblGrid>
        <w:gridCol w:w="3600"/>
        <w:gridCol w:w="2016"/>
        <w:gridCol w:w="2016"/>
        <w:gridCol w:w="1872"/>
      </w:tblGrid>
      <w:tr w:rsidR="005C6636" w:rsidRPr="001B11AB" w14:paraId="0AA1F961" w14:textId="77777777" w:rsidTr="002C5FE4">
        <w:trPr>
          <w:trHeight w:val="144"/>
        </w:trPr>
        <w:tc>
          <w:tcPr>
            <w:tcW w:w="3600" w:type="dxa"/>
            <w:shd w:val="clear" w:color="auto" w:fill="F2F2F2" w:themeFill="background1" w:themeFillShade="F2"/>
            <w:vAlign w:val="center"/>
          </w:tcPr>
          <w:p w14:paraId="52142452" w14:textId="77777777" w:rsidR="00E740BB" w:rsidRPr="001B11AB" w:rsidRDefault="00E740BB" w:rsidP="00897F23">
            <w:pPr>
              <w:spacing w:after="60"/>
              <w:jc w:val="center"/>
              <w:rPr>
                <w:rFonts w:ascii="Times New Roman" w:hAnsi="Times New Roman" w:cs="Times New Roman"/>
                <w:b/>
                <w:bCs/>
                <w:sz w:val="18"/>
                <w:szCs w:val="18"/>
                <w:lang w:val="ru-RU"/>
              </w:rPr>
            </w:pPr>
          </w:p>
        </w:tc>
        <w:tc>
          <w:tcPr>
            <w:tcW w:w="2016" w:type="dxa"/>
            <w:shd w:val="clear" w:color="auto" w:fill="F2F2F2" w:themeFill="background1" w:themeFillShade="F2"/>
            <w:vAlign w:val="center"/>
          </w:tcPr>
          <w:p w14:paraId="69C24351" w14:textId="77777777" w:rsidR="00E740BB" w:rsidRPr="001B11AB" w:rsidRDefault="00E740BB" w:rsidP="00897F23">
            <w:pPr>
              <w:spacing w:after="60"/>
              <w:jc w:val="center"/>
              <w:rPr>
                <w:rFonts w:ascii="Times New Roman" w:hAnsi="Times New Roman" w:cs="Times New Roman"/>
                <w:b/>
                <w:bCs/>
                <w:sz w:val="18"/>
                <w:szCs w:val="18"/>
                <w:lang w:val="ru-RU"/>
              </w:rPr>
            </w:pPr>
          </w:p>
        </w:tc>
        <w:tc>
          <w:tcPr>
            <w:tcW w:w="2016" w:type="dxa"/>
            <w:shd w:val="clear" w:color="auto" w:fill="F2F2F2" w:themeFill="background1" w:themeFillShade="F2"/>
            <w:vAlign w:val="center"/>
          </w:tcPr>
          <w:p w14:paraId="5C9D58FC" w14:textId="77777777" w:rsidR="00E740BB" w:rsidRPr="001B11AB" w:rsidRDefault="00E740BB" w:rsidP="00897F23">
            <w:pPr>
              <w:spacing w:after="60"/>
              <w:jc w:val="center"/>
              <w:rPr>
                <w:rFonts w:ascii="Times New Roman" w:hAnsi="Times New Roman" w:cs="Times New Roman"/>
                <w:b/>
                <w:bCs/>
                <w:sz w:val="18"/>
                <w:szCs w:val="18"/>
                <w:lang w:val="ru-RU"/>
              </w:rPr>
            </w:pPr>
          </w:p>
        </w:tc>
        <w:tc>
          <w:tcPr>
            <w:tcW w:w="1872" w:type="dxa"/>
            <w:shd w:val="clear" w:color="auto" w:fill="F2F2F2" w:themeFill="background1" w:themeFillShade="F2"/>
            <w:vAlign w:val="center"/>
          </w:tcPr>
          <w:p w14:paraId="1B6B9E3B" w14:textId="77777777" w:rsidR="00E740BB" w:rsidRPr="001B11AB" w:rsidRDefault="00E740BB" w:rsidP="00897F23">
            <w:pPr>
              <w:spacing w:after="60"/>
              <w:jc w:val="center"/>
              <w:rPr>
                <w:rFonts w:ascii="Times New Roman" w:hAnsi="Times New Roman" w:cs="Times New Roman"/>
                <w:b/>
                <w:bCs/>
                <w:sz w:val="18"/>
                <w:szCs w:val="18"/>
                <w:lang w:val="ru-RU"/>
              </w:rPr>
            </w:pPr>
          </w:p>
        </w:tc>
      </w:tr>
      <w:tr w:rsidR="005C6636" w:rsidRPr="001B11AB" w14:paraId="10A84141" w14:textId="77777777" w:rsidTr="002C5FE4">
        <w:tc>
          <w:tcPr>
            <w:tcW w:w="3600" w:type="dxa"/>
            <w:vAlign w:val="center"/>
          </w:tcPr>
          <w:p w14:paraId="02E8BDB5" w14:textId="3E37CE6D" w:rsidR="00E740BB" w:rsidRPr="001B11AB" w:rsidRDefault="00997AB1" w:rsidP="00997AB1">
            <w:pPr>
              <w:spacing w:after="60"/>
              <w:ind w:left="221"/>
              <w:rPr>
                <w:rFonts w:ascii="Times New Roman" w:hAnsi="Times New Roman" w:cs="Times New Roman"/>
                <w:sz w:val="18"/>
                <w:szCs w:val="18"/>
              </w:rPr>
            </w:pPr>
            <w:r w:rsidRPr="001B11AB">
              <w:rPr>
                <w:rFonts w:ascii="Times New Roman" w:hAnsi="Times New Roman" w:cs="Times New Roman"/>
                <w:b/>
                <w:sz w:val="18"/>
                <w:szCs w:val="18"/>
                <w:lang w:val="sr-Cyrl-BA"/>
              </w:rPr>
              <w:t xml:space="preserve">А) </w:t>
            </w:r>
            <w:r w:rsidR="00E740BB" w:rsidRPr="001B11AB">
              <w:rPr>
                <w:rFonts w:ascii="Times New Roman" w:hAnsi="Times New Roman" w:cs="Times New Roman"/>
                <w:b/>
                <w:sz w:val="18"/>
                <w:szCs w:val="18"/>
              </w:rPr>
              <w:t>Капитал</w:t>
            </w:r>
          </w:p>
        </w:tc>
        <w:tc>
          <w:tcPr>
            <w:tcW w:w="2016" w:type="dxa"/>
            <w:vAlign w:val="center"/>
          </w:tcPr>
          <w:p w14:paraId="35C27676" w14:textId="77777777" w:rsidR="00E740BB" w:rsidRPr="001B11AB" w:rsidRDefault="00E740BB" w:rsidP="00897F23">
            <w:pPr>
              <w:spacing w:after="60"/>
              <w:jc w:val="center"/>
              <w:rPr>
                <w:rFonts w:ascii="Times New Roman" w:hAnsi="Times New Roman" w:cs="Times New Roman"/>
                <w:b/>
                <w:bCs/>
                <w:sz w:val="18"/>
                <w:szCs w:val="18"/>
                <w:lang w:val="ru-RU"/>
              </w:rPr>
            </w:pPr>
            <w:r w:rsidRPr="001B11AB">
              <w:rPr>
                <w:rFonts w:ascii="Times New Roman" w:hAnsi="Times New Roman" w:cs="Times New Roman"/>
                <w:b/>
                <w:bCs/>
                <w:sz w:val="18"/>
                <w:szCs w:val="18"/>
                <w:lang w:val="ru-RU"/>
              </w:rPr>
              <w:t>Регулаторни капитал</w:t>
            </w:r>
          </w:p>
          <w:p w14:paraId="00475F12" w14:textId="77777777" w:rsidR="00E740BB" w:rsidRPr="001B11AB" w:rsidRDefault="00E740BB" w:rsidP="00897F23">
            <w:pPr>
              <w:spacing w:after="60"/>
              <w:jc w:val="center"/>
              <w:rPr>
                <w:rFonts w:ascii="Times New Roman" w:hAnsi="Times New Roman" w:cs="Times New Roman"/>
                <w:bCs/>
                <w:i/>
                <w:sz w:val="18"/>
                <w:szCs w:val="18"/>
                <w:lang w:val="ru-RU"/>
              </w:rPr>
            </w:pPr>
            <w:r w:rsidRPr="001B11AB">
              <w:rPr>
                <w:rFonts w:ascii="Times New Roman" w:hAnsi="Times New Roman" w:cs="Times New Roman"/>
                <w:bCs/>
                <w:sz w:val="18"/>
                <w:szCs w:val="18"/>
                <w:lang w:val="ru-RU"/>
              </w:rPr>
              <w:t>(</w:t>
            </w:r>
            <w:r w:rsidRPr="001B11AB">
              <w:rPr>
                <w:rFonts w:ascii="Times New Roman" w:hAnsi="Times New Roman" w:cs="Times New Roman"/>
                <w:bCs/>
                <w:i/>
                <w:sz w:val="18"/>
                <w:szCs w:val="18"/>
                <w:lang w:val="ru-RU"/>
              </w:rPr>
              <w:t>износ</w:t>
            </w:r>
            <w:r w:rsidRPr="001B11AB">
              <w:rPr>
                <w:rFonts w:ascii="Times New Roman" w:hAnsi="Times New Roman" w:cs="Times New Roman"/>
                <w:bCs/>
                <w:sz w:val="18"/>
                <w:szCs w:val="18"/>
                <w:lang w:val="ru-RU"/>
              </w:rPr>
              <w:t>)</w:t>
            </w:r>
          </w:p>
        </w:tc>
        <w:tc>
          <w:tcPr>
            <w:tcW w:w="2016" w:type="dxa"/>
            <w:vAlign w:val="center"/>
          </w:tcPr>
          <w:p w14:paraId="4D16E39F" w14:textId="77777777" w:rsidR="00E740BB" w:rsidRPr="001B11AB" w:rsidRDefault="00E740BB" w:rsidP="00897F23">
            <w:pPr>
              <w:spacing w:after="60"/>
              <w:jc w:val="center"/>
              <w:rPr>
                <w:rFonts w:ascii="Times New Roman" w:hAnsi="Times New Roman" w:cs="Times New Roman"/>
                <w:b/>
                <w:bCs/>
                <w:sz w:val="18"/>
                <w:szCs w:val="18"/>
                <w:lang w:val="ru-RU"/>
              </w:rPr>
            </w:pPr>
            <w:r w:rsidRPr="001B11AB">
              <w:rPr>
                <w:rFonts w:ascii="Times New Roman" w:hAnsi="Times New Roman" w:cs="Times New Roman"/>
                <w:b/>
                <w:bCs/>
                <w:sz w:val="18"/>
                <w:szCs w:val="18"/>
                <w:lang w:val="ru-RU"/>
              </w:rPr>
              <w:t xml:space="preserve">Расположиви капитал </w:t>
            </w:r>
          </w:p>
          <w:p w14:paraId="02271971" w14:textId="77777777" w:rsidR="00E740BB" w:rsidRPr="001B11AB" w:rsidRDefault="00E740BB" w:rsidP="00897F23">
            <w:pPr>
              <w:spacing w:after="60"/>
              <w:jc w:val="center"/>
              <w:rPr>
                <w:rFonts w:ascii="Times New Roman" w:hAnsi="Times New Roman" w:cs="Times New Roman"/>
                <w:b/>
                <w:bCs/>
                <w:sz w:val="18"/>
                <w:szCs w:val="18"/>
                <w:lang w:val="ru-RU"/>
              </w:rPr>
            </w:pPr>
            <w:r w:rsidRPr="001B11AB">
              <w:rPr>
                <w:rFonts w:ascii="Times New Roman" w:hAnsi="Times New Roman" w:cs="Times New Roman"/>
                <w:bCs/>
                <w:sz w:val="18"/>
                <w:szCs w:val="18"/>
                <w:lang w:val="ru-RU"/>
              </w:rPr>
              <w:t>(</w:t>
            </w:r>
            <w:r w:rsidRPr="001B11AB">
              <w:rPr>
                <w:rFonts w:ascii="Times New Roman" w:hAnsi="Times New Roman" w:cs="Times New Roman"/>
                <w:bCs/>
                <w:i/>
                <w:sz w:val="18"/>
                <w:szCs w:val="18"/>
                <w:lang w:val="ru-RU"/>
              </w:rPr>
              <w:t>износ</w:t>
            </w:r>
            <w:r w:rsidRPr="001B11AB">
              <w:rPr>
                <w:rFonts w:ascii="Times New Roman" w:hAnsi="Times New Roman" w:cs="Times New Roman"/>
                <w:bCs/>
                <w:sz w:val="18"/>
                <w:szCs w:val="18"/>
                <w:lang w:val="ru-RU"/>
              </w:rPr>
              <w:t>)</w:t>
            </w:r>
          </w:p>
        </w:tc>
        <w:tc>
          <w:tcPr>
            <w:tcW w:w="1872" w:type="dxa"/>
          </w:tcPr>
          <w:p w14:paraId="3107BB46" w14:textId="77777777" w:rsidR="00E740BB" w:rsidRPr="001B11AB" w:rsidRDefault="00E740BB" w:rsidP="00897F23">
            <w:pPr>
              <w:spacing w:after="60"/>
              <w:jc w:val="both"/>
              <w:rPr>
                <w:rFonts w:ascii="Times New Roman" w:hAnsi="Times New Roman" w:cs="Times New Roman"/>
                <w:b/>
                <w:bCs/>
                <w:sz w:val="18"/>
                <w:szCs w:val="18"/>
                <w:lang w:val="ru-RU"/>
              </w:rPr>
            </w:pPr>
          </w:p>
        </w:tc>
      </w:tr>
      <w:tr w:rsidR="005C6636" w:rsidRPr="001B11AB" w14:paraId="24C47270" w14:textId="77777777" w:rsidTr="002C5FE4">
        <w:tc>
          <w:tcPr>
            <w:tcW w:w="3600" w:type="dxa"/>
            <w:shd w:val="clear" w:color="auto" w:fill="F2F2F2" w:themeFill="background1" w:themeFillShade="F2"/>
            <w:vAlign w:val="center"/>
          </w:tcPr>
          <w:p w14:paraId="21DC1669" w14:textId="77777777" w:rsidR="00E740BB" w:rsidRPr="001B11AB" w:rsidRDefault="00E740BB" w:rsidP="00897F23">
            <w:pPr>
              <w:spacing w:after="60"/>
              <w:jc w:val="center"/>
              <w:rPr>
                <w:rFonts w:ascii="Times New Roman" w:hAnsi="Times New Roman" w:cs="Times New Roman"/>
                <w:b/>
                <w:bCs/>
                <w:sz w:val="18"/>
                <w:szCs w:val="18"/>
              </w:rPr>
            </w:pPr>
          </w:p>
        </w:tc>
        <w:tc>
          <w:tcPr>
            <w:tcW w:w="2016" w:type="dxa"/>
            <w:shd w:val="clear" w:color="auto" w:fill="F2F2F2" w:themeFill="background1" w:themeFillShade="F2"/>
            <w:vAlign w:val="center"/>
          </w:tcPr>
          <w:p w14:paraId="13546BAD" w14:textId="77777777" w:rsidR="00E740BB" w:rsidRPr="001B11AB" w:rsidRDefault="00E740BB" w:rsidP="00897F23">
            <w:pPr>
              <w:spacing w:after="60"/>
              <w:jc w:val="center"/>
              <w:rPr>
                <w:rFonts w:ascii="Times New Roman" w:hAnsi="Times New Roman" w:cs="Times New Roman"/>
                <w:b/>
                <w:bCs/>
                <w:sz w:val="18"/>
                <w:szCs w:val="18"/>
              </w:rPr>
            </w:pPr>
          </w:p>
        </w:tc>
        <w:tc>
          <w:tcPr>
            <w:tcW w:w="2016" w:type="dxa"/>
            <w:shd w:val="clear" w:color="auto" w:fill="F2F2F2" w:themeFill="background1" w:themeFillShade="F2"/>
            <w:vAlign w:val="center"/>
          </w:tcPr>
          <w:p w14:paraId="28B381CC" w14:textId="77777777" w:rsidR="00E740BB" w:rsidRPr="001B11AB" w:rsidRDefault="00E740BB" w:rsidP="00897F23">
            <w:pPr>
              <w:spacing w:after="60"/>
              <w:jc w:val="center"/>
              <w:rPr>
                <w:rFonts w:ascii="Times New Roman" w:hAnsi="Times New Roman" w:cs="Times New Roman"/>
                <w:b/>
                <w:bCs/>
                <w:sz w:val="18"/>
                <w:szCs w:val="18"/>
              </w:rPr>
            </w:pPr>
          </w:p>
        </w:tc>
        <w:tc>
          <w:tcPr>
            <w:tcW w:w="1872" w:type="dxa"/>
            <w:shd w:val="clear" w:color="auto" w:fill="F2F2F2" w:themeFill="background1" w:themeFillShade="F2"/>
            <w:vAlign w:val="center"/>
          </w:tcPr>
          <w:p w14:paraId="0987408F" w14:textId="77777777" w:rsidR="00E740BB" w:rsidRPr="001B11AB" w:rsidRDefault="00E740BB" w:rsidP="00897F23">
            <w:pPr>
              <w:spacing w:after="60"/>
              <w:jc w:val="center"/>
              <w:rPr>
                <w:rFonts w:ascii="Times New Roman" w:hAnsi="Times New Roman" w:cs="Times New Roman"/>
                <w:b/>
                <w:bCs/>
                <w:sz w:val="18"/>
                <w:szCs w:val="18"/>
              </w:rPr>
            </w:pPr>
          </w:p>
        </w:tc>
      </w:tr>
      <w:tr w:rsidR="005C6636" w:rsidRPr="001B11AB" w14:paraId="367986AE" w14:textId="77777777" w:rsidTr="002C5FE4">
        <w:tc>
          <w:tcPr>
            <w:tcW w:w="3600" w:type="dxa"/>
            <w:shd w:val="clear" w:color="auto" w:fill="F2F2F2" w:themeFill="background1" w:themeFillShade="F2"/>
            <w:vAlign w:val="center"/>
          </w:tcPr>
          <w:p w14:paraId="1F66E6EA" w14:textId="77777777" w:rsidR="00E740BB" w:rsidRPr="001B11AB" w:rsidRDefault="00E740BB" w:rsidP="00897F23">
            <w:pPr>
              <w:spacing w:after="60"/>
              <w:jc w:val="center"/>
              <w:rPr>
                <w:rFonts w:ascii="Times New Roman" w:hAnsi="Times New Roman" w:cs="Times New Roman"/>
                <w:b/>
                <w:bCs/>
                <w:sz w:val="18"/>
                <w:szCs w:val="18"/>
              </w:rPr>
            </w:pPr>
            <w:r w:rsidRPr="001B11AB">
              <w:rPr>
                <w:rFonts w:ascii="Times New Roman" w:hAnsi="Times New Roman" w:cs="Times New Roman"/>
                <w:b/>
                <w:bCs/>
                <w:sz w:val="18"/>
                <w:szCs w:val="18"/>
              </w:rPr>
              <w:t>Врста ризика</w:t>
            </w:r>
          </w:p>
        </w:tc>
        <w:tc>
          <w:tcPr>
            <w:tcW w:w="2016" w:type="dxa"/>
            <w:shd w:val="clear" w:color="auto" w:fill="F2F2F2" w:themeFill="background1" w:themeFillShade="F2"/>
            <w:vAlign w:val="center"/>
          </w:tcPr>
          <w:p w14:paraId="49B569A3" w14:textId="77777777" w:rsidR="00E740BB" w:rsidRPr="001B11AB" w:rsidRDefault="00E740BB" w:rsidP="00897F23">
            <w:pPr>
              <w:spacing w:after="60"/>
              <w:jc w:val="center"/>
              <w:rPr>
                <w:rFonts w:ascii="Times New Roman" w:hAnsi="Times New Roman" w:cs="Times New Roman"/>
                <w:b/>
                <w:bCs/>
                <w:sz w:val="18"/>
                <w:szCs w:val="18"/>
                <w:lang w:val="ru-RU"/>
              </w:rPr>
            </w:pPr>
            <w:r w:rsidRPr="001B11AB">
              <w:rPr>
                <w:rFonts w:ascii="Times New Roman" w:hAnsi="Times New Roman" w:cs="Times New Roman"/>
                <w:b/>
                <w:bCs/>
                <w:sz w:val="18"/>
                <w:szCs w:val="18"/>
                <w:lang w:val="ru-RU"/>
              </w:rPr>
              <w:t>Капитални захтјеви у складу са Одлуком о израчунавању капитала банака</w:t>
            </w:r>
          </w:p>
        </w:tc>
        <w:tc>
          <w:tcPr>
            <w:tcW w:w="2016" w:type="dxa"/>
            <w:shd w:val="clear" w:color="auto" w:fill="F2F2F2" w:themeFill="background1" w:themeFillShade="F2"/>
            <w:vAlign w:val="center"/>
          </w:tcPr>
          <w:p w14:paraId="4FA268C2" w14:textId="77777777" w:rsidR="00E740BB" w:rsidRPr="001B11AB" w:rsidRDefault="00E740BB" w:rsidP="00897F23">
            <w:pPr>
              <w:spacing w:after="60"/>
              <w:jc w:val="center"/>
              <w:rPr>
                <w:rFonts w:ascii="Times New Roman" w:hAnsi="Times New Roman" w:cs="Times New Roman"/>
                <w:b/>
                <w:bCs/>
                <w:sz w:val="18"/>
                <w:szCs w:val="18"/>
                <w:lang w:val="ru-RU"/>
              </w:rPr>
            </w:pPr>
            <w:r w:rsidRPr="001B11AB">
              <w:rPr>
                <w:rFonts w:ascii="Times New Roman" w:hAnsi="Times New Roman" w:cs="Times New Roman"/>
                <w:b/>
                <w:bCs/>
                <w:sz w:val="18"/>
                <w:szCs w:val="18"/>
                <w:lang w:val="ru-RU"/>
              </w:rPr>
              <w:t xml:space="preserve">Интерни капитални захтјеви у складу са резултатима </w:t>
            </w:r>
            <w:r w:rsidRPr="001B11AB">
              <w:rPr>
                <w:rFonts w:ascii="Times New Roman" w:hAnsi="Times New Roman" w:cs="Times New Roman"/>
                <w:b/>
                <w:bCs/>
                <w:sz w:val="18"/>
                <w:szCs w:val="18"/>
              </w:rPr>
              <w:t>ICAAP</w:t>
            </w:r>
            <w:r w:rsidRPr="001B11AB">
              <w:rPr>
                <w:rFonts w:ascii="Times New Roman" w:hAnsi="Times New Roman" w:cs="Times New Roman"/>
                <w:b/>
                <w:bCs/>
                <w:sz w:val="18"/>
                <w:szCs w:val="18"/>
                <w:lang w:val="ru-RU"/>
              </w:rPr>
              <w:t>-</w:t>
            </w:r>
            <w:r w:rsidRPr="001B11AB">
              <w:rPr>
                <w:rFonts w:ascii="Times New Roman" w:hAnsi="Times New Roman" w:cs="Times New Roman"/>
                <w:b/>
                <w:bCs/>
                <w:sz w:val="18"/>
                <w:szCs w:val="18"/>
              </w:rPr>
              <w:t>a</w:t>
            </w:r>
          </w:p>
        </w:tc>
        <w:tc>
          <w:tcPr>
            <w:tcW w:w="1872" w:type="dxa"/>
            <w:shd w:val="clear" w:color="auto" w:fill="F2F2F2" w:themeFill="background1" w:themeFillShade="F2"/>
            <w:vAlign w:val="center"/>
          </w:tcPr>
          <w:p w14:paraId="2499AC73" w14:textId="77777777" w:rsidR="00E740BB" w:rsidRPr="001B11AB" w:rsidRDefault="00E740BB" w:rsidP="00897F23">
            <w:pPr>
              <w:spacing w:after="60"/>
              <w:jc w:val="center"/>
              <w:rPr>
                <w:rFonts w:ascii="Times New Roman" w:hAnsi="Times New Roman" w:cs="Times New Roman"/>
                <w:b/>
                <w:bCs/>
                <w:sz w:val="18"/>
                <w:szCs w:val="18"/>
              </w:rPr>
            </w:pPr>
            <w:r w:rsidRPr="001B11AB">
              <w:rPr>
                <w:rFonts w:ascii="Times New Roman" w:hAnsi="Times New Roman" w:cs="Times New Roman"/>
                <w:b/>
                <w:bCs/>
                <w:sz w:val="18"/>
                <w:szCs w:val="18"/>
              </w:rPr>
              <w:t>Разлика</w:t>
            </w:r>
          </w:p>
        </w:tc>
      </w:tr>
      <w:tr w:rsidR="005C6636" w:rsidRPr="001B11AB" w14:paraId="4E300DFA" w14:textId="77777777" w:rsidTr="002C5FE4">
        <w:tc>
          <w:tcPr>
            <w:tcW w:w="3600" w:type="dxa"/>
            <w:shd w:val="clear" w:color="auto" w:fill="FFFFFF" w:themeFill="background1"/>
          </w:tcPr>
          <w:p w14:paraId="6F307EF3" w14:textId="77777777" w:rsidR="00E740BB" w:rsidRPr="001B11AB" w:rsidRDefault="00E740BB" w:rsidP="00897F23">
            <w:pPr>
              <w:pStyle w:val="ListParagraph"/>
              <w:spacing w:after="60"/>
              <w:ind w:left="221"/>
              <w:contextualSpacing w:val="0"/>
              <w:jc w:val="both"/>
              <w:rPr>
                <w:rFonts w:ascii="Times New Roman" w:hAnsi="Times New Roman" w:cs="Times New Roman"/>
                <w:b/>
                <w:sz w:val="18"/>
                <w:szCs w:val="18"/>
              </w:rPr>
            </w:pPr>
          </w:p>
        </w:tc>
        <w:tc>
          <w:tcPr>
            <w:tcW w:w="2016" w:type="dxa"/>
            <w:shd w:val="clear" w:color="auto" w:fill="FFFFFF" w:themeFill="background1"/>
            <w:vAlign w:val="center"/>
          </w:tcPr>
          <w:p w14:paraId="328323E5" w14:textId="77777777" w:rsidR="00E740BB" w:rsidRPr="001B11AB" w:rsidRDefault="00E740BB" w:rsidP="00897F23">
            <w:pPr>
              <w:spacing w:after="60"/>
              <w:jc w:val="center"/>
              <w:rPr>
                <w:rFonts w:ascii="Times New Roman" w:hAnsi="Times New Roman" w:cs="Times New Roman"/>
                <w:b/>
                <w:bCs/>
                <w:sz w:val="18"/>
                <w:szCs w:val="18"/>
              </w:rPr>
            </w:pPr>
          </w:p>
        </w:tc>
        <w:tc>
          <w:tcPr>
            <w:tcW w:w="2016" w:type="dxa"/>
            <w:shd w:val="clear" w:color="auto" w:fill="FFFFFF" w:themeFill="background1"/>
            <w:vAlign w:val="center"/>
          </w:tcPr>
          <w:p w14:paraId="6C04C628" w14:textId="77777777" w:rsidR="00E740BB" w:rsidRPr="001B11AB" w:rsidRDefault="00E740BB" w:rsidP="00897F23">
            <w:pPr>
              <w:spacing w:after="60"/>
              <w:jc w:val="center"/>
              <w:rPr>
                <w:rFonts w:ascii="Times New Roman" w:hAnsi="Times New Roman" w:cs="Times New Roman"/>
                <w:b/>
                <w:bCs/>
                <w:sz w:val="18"/>
                <w:szCs w:val="18"/>
              </w:rPr>
            </w:pPr>
          </w:p>
        </w:tc>
        <w:tc>
          <w:tcPr>
            <w:tcW w:w="1872" w:type="dxa"/>
            <w:shd w:val="clear" w:color="auto" w:fill="FFFFFF" w:themeFill="background1"/>
          </w:tcPr>
          <w:p w14:paraId="0E32CEB1"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021C6E8F" w14:textId="77777777" w:rsidTr="002C5FE4">
        <w:tc>
          <w:tcPr>
            <w:tcW w:w="3600" w:type="dxa"/>
            <w:shd w:val="clear" w:color="auto" w:fill="F2F2F2" w:themeFill="background1" w:themeFillShade="F2"/>
          </w:tcPr>
          <w:p w14:paraId="24951A12" w14:textId="77777777" w:rsidR="00E740BB" w:rsidRPr="001B11AB" w:rsidRDefault="00E740BB" w:rsidP="00897F23">
            <w:pPr>
              <w:pStyle w:val="ListParagraph"/>
              <w:numPr>
                <w:ilvl w:val="0"/>
                <w:numId w:val="28"/>
              </w:numPr>
              <w:spacing w:after="60"/>
              <w:ind w:left="221" w:hanging="221"/>
              <w:contextualSpacing w:val="0"/>
              <w:jc w:val="both"/>
              <w:rPr>
                <w:rFonts w:ascii="Times New Roman" w:hAnsi="Times New Roman" w:cs="Times New Roman"/>
                <w:b/>
                <w:bCs/>
                <w:sz w:val="18"/>
                <w:szCs w:val="18"/>
                <w:lang w:val="ru-RU"/>
              </w:rPr>
            </w:pPr>
            <w:r w:rsidRPr="001B11AB">
              <w:rPr>
                <w:rFonts w:ascii="Times New Roman" w:hAnsi="Times New Roman" w:cs="Times New Roman"/>
                <w:b/>
                <w:sz w:val="18"/>
                <w:szCs w:val="18"/>
                <w:lang w:val="ru-RU"/>
              </w:rPr>
              <w:t xml:space="preserve">Ризици за које се рачунају минимални капитални захтјеви </w:t>
            </w:r>
          </w:p>
        </w:tc>
        <w:tc>
          <w:tcPr>
            <w:tcW w:w="2016" w:type="dxa"/>
            <w:shd w:val="clear" w:color="auto" w:fill="F2F2F2" w:themeFill="background1" w:themeFillShade="F2"/>
          </w:tcPr>
          <w:p w14:paraId="0715EDBF" w14:textId="77777777" w:rsidR="00E740BB" w:rsidRPr="001B11AB" w:rsidRDefault="00E740BB" w:rsidP="00897F23">
            <w:pPr>
              <w:spacing w:after="60"/>
              <w:jc w:val="both"/>
              <w:rPr>
                <w:rFonts w:ascii="Times New Roman" w:hAnsi="Times New Roman" w:cs="Times New Roman"/>
                <w:b/>
                <w:bCs/>
                <w:sz w:val="18"/>
                <w:szCs w:val="18"/>
                <w:lang w:val="ru-RU"/>
              </w:rPr>
            </w:pPr>
          </w:p>
        </w:tc>
        <w:tc>
          <w:tcPr>
            <w:tcW w:w="2016" w:type="dxa"/>
            <w:shd w:val="clear" w:color="auto" w:fill="F2F2F2" w:themeFill="background1" w:themeFillShade="F2"/>
          </w:tcPr>
          <w:p w14:paraId="6F4E7D9E" w14:textId="77777777" w:rsidR="00E740BB" w:rsidRPr="001B11AB" w:rsidRDefault="00E740BB" w:rsidP="00897F23">
            <w:pPr>
              <w:spacing w:after="60"/>
              <w:jc w:val="both"/>
              <w:rPr>
                <w:rFonts w:ascii="Times New Roman" w:hAnsi="Times New Roman" w:cs="Times New Roman"/>
                <w:b/>
                <w:bCs/>
                <w:sz w:val="18"/>
                <w:szCs w:val="18"/>
                <w:lang w:val="ru-RU"/>
              </w:rPr>
            </w:pPr>
          </w:p>
        </w:tc>
        <w:tc>
          <w:tcPr>
            <w:tcW w:w="1872" w:type="dxa"/>
            <w:shd w:val="clear" w:color="auto" w:fill="F2F2F2" w:themeFill="background1" w:themeFillShade="F2"/>
          </w:tcPr>
          <w:p w14:paraId="3136104F" w14:textId="77777777" w:rsidR="00E740BB" w:rsidRPr="001B11AB" w:rsidRDefault="00E740BB" w:rsidP="00897F23">
            <w:pPr>
              <w:spacing w:after="60"/>
              <w:jc w:val="both"/>
              <w:rPr>
                <w:rFonts w:ascii="Times New Roman" w:hAnsi="Times New Roman" w:cs="Times New Roman"/>
                <w:b/>
                <w:bCs/>
                <w:sz w:val="18"/>
                <w:szCs w:val="18"/>
                <w:lang w:val="ru-RU"/>
              </w:rPr>
            </w:pPr>
          </w:p>
        </w:tc>
      </w:tr>
      <w:tr w:rsidR="005C6636" w:rsidRPr="001B11AB" w14:paraId="06828FCE" w14:textId="77777777" w:rsidTr="002C5FE4">
        <w:tc>
          <w:tcPr>
            <w:tcW w:w="3600" w:type="dxa"/>
          </w:tcPr>
          <w:p w14:paraId="17CA1ED8" w14:textId="77777777" w:rsidR="00E740BB" w:rsidRPr="001B11AB" w:rsidRDefault="00E740BB" w:rsidP="00897F23">
            <w:pPr>
              <w:spacing w:after="60"/>
              <w:jc w:val="both"/>
              <w:rPr>
                <w:rFonts w:ascii="Times New Roman" w:hAnsi="Times New Roman" w:cs="Times New Roman"/>
                <w:bCs/>
                <w:sz w:val="18"/>
                <w:szCs w:val="18"/>
              </w:rPr>
            </w:pPr>
            <w:r w:rsidRPr="001B11AB">
              <w:rPr>
                <w:rFonts w:ascii="Times New Roman" w:hAnsi="Times New Roman" w:cs="Times New Roman"/>
                <w:bCs/>
                <w:sz w:val="18"/>
                <w:szCs w:val="18"/>
              </w:rPr>
              <w:t>Кредитни ризик</w:t>
            </w:r>
          </w:p>
        </w:tc>
        <w:tc>
          <w:tcPr>
            <w:tcW w:w="2016" w:type="dxa"/>
          </w:tcPr>
          <w:p w14:paraId="400E1578" w14:textId="77777777" w:rsidR="00E740BB" w:rsidRPr="001B11AB" w:rsidRDefault="00E740BB" w:rsidP="00897F23">
            <w:pPr>
              <w:spacing w:after="60"/>
              <w:jc w:val="both"/>
              <w:rPr>
                <w:rFonts w:ascii="Times New Roman" w:hAnsi="Times New Roman" w:cs="Times New Roman"/>
                <w:b/>
                <w:bCs/>
                <w:sz w:val="18"/>
                <w:szCs w:val="18"/>
              </w:rPr>
            </w:pPr>
          </w:p>
        </w:tc>
        <w:tc>
          <w:tcPr>
            <w:tcW w:w="2016" w:type="dxa"/>
          </w:tcPr>
          <w:p w14:paraId="775A74A2"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64395519"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14BC752C" w14:textId="77777777" w:rsidTr="002C5FE4">
        <w:tc>
          <w:tcPr>
            <w:tcW w:w="3600" w:type="dxa"/>
          </w:tcPr>
          <w:p w14:paraId="59D37EA4" w14:textId="77777777" w:rsidR="00E740BB" w:rsidRPr="001B11AB" w:rsidRDefault="00E740BB" w:rsidP="00897F23">
            <w:pPr>
              <w:spacing w:after="60"/>
              <w:jc w:val="both"/>
              <w:rPr>
                <w:rFonts w:ascii="Times New Roman" w:hAnsi="Times New Roman" w:cs="Times New Roman"/>
                <w:bCs/>
                <w:sz w:val="18"/>
                <w:szCs w:val="18"/>
              </w:rPr>
            </w:pPr>
            <w:r w:rsidRPr="001B11AB">
              <w:rPr>
                <w:rFonts w:ascii="Times New Roman" w:hAnsi="Times New Roman" w:cs="Times New Roman"/>
                <w:bCs/>
                <w:sz w:val="18"/>
                <w:szCs w:val="18"/>
              </w:rPr>
              <w:t>Тржишни ризик</w:t>
            </w:r>
          </w:p>
        </w:tc>
        <w:tc>
          <w:tcPr>
            <w:tcW w:w="2016" w:type="dxa"/>
          </w:tcPr>
          <w:p w14:paraId="21AE4B3F" w14:textId="77777777" w:rsidR="00E740BB" w:rsidRPr="001B11AB" w:rsidRDefault="00E740BB" w:rsidP="00897F23">
            <w:pPr>
              <w:spacing w:after="60"/>
              <w:jc w:val="both"/>
              <w:rPr>
                <w:rFonts w:ascii="Times New Roman" w:hAnsi="Times New Roman" w:cs="Times New Roman"/>
                <w:b/>
                <w:bCs/>
                <w:sz w:val="18"/>
                <w:szCs w:val="18"/>
              </w:rPr>
            </w:pPr>
          </w:p>
        </w:tc>
        <w:tc>
          <w:tcPr>
            <w:tcW w:w="2016" w:type="dxa"/>
          </w:tcPr>
          <w:p w14:paraId="3689786B"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52DD741E"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3093D66E" w14:textId="77777777" w:rsidTr="002C5FE4">
        <w:tc>
          <w:tcPr>
            <w:tcW w:w="3600" w:type="dxa"/>
          </w:tcPr>
          <w:p w14:paraId="1CE7DD65" w14:textId="77777777" w:rsidR="00E740BB" w:rsidRPr="001B11AB" w:rsidRDefault="00E740BB" w:rsidP="00897F23">
            <w:pPr>
              <w:spacing w:after="60"/>
              <w:jc w:val="both"/>
              <w:rPr>
                <w:rFonts w:ascii="Times New Roman" w:hAnsi="Times New Roman" w:cs="Times New Roman"/>
                <w:bCs/>
                <w:sz w:val="18"/>
                <w:szCs w:val="18"/>
              </w:rPr>
            </w:pPr>
            <w:r w:rsidRPr="001B11AB">
              <w:rPr>
                <w:rFonts w:ascii="Times New Roman" w:hAnsi="Times New Roman" w:cs="Times New Roman"/>
                <w:bCs/>
                <w:sz w:val="18"/>
                <w:szCs w:val="18"/>
              </w:rPr>
              <w:t>Оперативни ризик</w:t>
            </w:r>
          </w:p>
        </w:tc>
        <w:tc>
          <w:tcPr>
            <w:tcW w:w="2016" w:type="dxa"/>
          </w:tcPr>
          <w:p w14:paraId="06253F51" w14:textId="77777777" w:rsidR="00E740BB" w:rsidRPr="001B11AB" w:rsidRDefault="00E740BB" w:rsidP="00897F23">
            <w:pPr>
              <w:spacing w:after="60"/>
              <w:jc w:val="both"/>
              <w:rPr>
                <w:rFonts w:ascii="Times New Roman" w:hAnsi="Times New Roman" w:cs="Times New Roman"/>
                <w:b/>
                <w:bCs/>
                <w:sz w:val="18"/>
                <w:szCs w:val="18"/>
              </w:rPr>
            </w:pPr>
          </w:p>
        </w:tc>
        <w:tc>
          <w:tcPr>
            <w:tcW w:w="2016" w:type="dxa"/>
          </w:tcPr>
          <w:p w14:paraId="5DFAAED0"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751137BA"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02F0951C" w14:textId="77777777" w:rsidTr="002C5FE4">
        <w:tc>
          <w:tcPr>
            <w:tcW w:w="3600" w:type="dxa"/>
            <w:shd w:val="clear" w:color="auto" w:fill="F2F2F2" w:themeFill="background1" w:themeFillShade="F2"/>
          </w:tcPr>
          <w:p w14:paraId="3295F72E" w14:textId="77777777" w:rsidR="00E740BB" w:rsidRPr="001B11AB" w:rsidRDefault="00E740BB" w:rsidP="00897F23">
            <w:pPr>
              <w:pStyle w:val="ListParagraph"/>
              <w:numPr>
                <w:ilvl w:val="0"/>
                <w:numId w:val="28"/>
              </w:numPr>
              <w:spacing w:after="60"/>
              <w:ind w:left="221" w:hanging="221"/>
              <w:contextualSpacing w:val="0"/>
              <w:jc w:val="both"/>
              <w:rPr>
                <w:rFonts w:ascii="Times New Roman" w:hAnsi="Times New Roman" w:cs="Times New Roman"/>
                <w:b/>
                <w:bCs/>
                <w:sz w:val="18"/>
                <w:szCs w:val="18"/>
                <w:lang w:val="ru-RU"/>
              </w:rPr>
            </w:pPr>
            <w:r w:rsidRPr="001B11AB">
              <w:rPr>
                <w:rFonts w:ascii="Times New Roman" w:hAnsi="Times New Roman" w:cs="Times New Roman"/>
                <w:b/>
                <w:bCs/>
                <w:sz w:val="18"/>
                <w:szCs w:val="18"/>
                <w:lang w:val="ru-RU"/>
              </w:rPr>
              <w:t xml:space="preserve">Ризици који нису у потпуности покривени минималним капиталним захтјевима </w:t>
            </w:r>
          </w:p>
        </w:tc>
        <w:tc>
          <w:tcPr>
            <w:tcW w:w="2016" w:type="dxa"/>
            <w:shd w:val="clear" w:color="auto" w:fill="F2F2F2" w:themeFill="background1" w:themeFillShade="F2"/>
            <w:vAlign w:val="center"/>
          </w:tcPr>
          <w:p w14:paraId="3E38628C" w14:textId="77777777" w:rsidR="00E740BB" w:rsidRPr="001B11AB" w:rsidRDefault="00E740BB" w:rsidP="00897F23">
            <w:pPr>
              <w:spacing w:after="60"/>
              <w:jc w:val="center"/>
              <w:rPr>
                <w:rFonts w:ascii="Times New Roman" w:hAnsi="Times New Roman" w:cs="Times New Roman"/>
                <w:sz w:val="18"/>
                <w:szCs w:val="18"/>
                <w:lang w:val="ru-RU"/>
              </w:rPr>
            </w:pPr>
          </w:p>
        </w:tc>
        <w:tc>
          <w:tcPr>
            <w:tcW w:w="2016" w:type="dxa"/>
            <w:shd w:val="clear" w:color="auto" w:fill="F2F2F2" w:themeFill="background1" w:themeFillShade="F2"/>
          </w:tcPr>
          <w:p w14:paraId="14296F9A" w14:textId="77777777" w:rsidR="00E740BB" w:rsidRPr="001B11AB" w:rsidRDefault="00E740BB" w:rsidP="00897F23">
            <w:pPr>
              <w:spacing w:after="60"/>
              <w:jc w:val="both"/>
              <w:rPr>
                <w:rFonts w:ascii="Times New Roman" w:hAnsi="Times New Roman" w:cs="Times New Roman"/>
                <w:b/>
                <w:bCs/>
                <w:sz w:val="18"/>
                <w:szCs w:val="18"/>
                <w:lang w:val="ru-RU"/>
              </w:rPr>
            </w:pPr>
          </w:p>
        </w:tc>
        <w:tc>
          <w:tcPr>
            <w:tcW w:w="1872" w:type="dxa"/>
            <w:shd w:val="clear" w:color="auto" w:fill="F2F2F2" w:themeFill="background1" w:themeFillShade="F2"/>
          </w:tcPr>
          <w:p w14:paraId="14AB1926" w14:textId="77777777" w:rsidR="00E740BB" w:rsidRPr="001B11AB" w:rsidRDefault="00E740BB" w:rsidP="00897F23">
            <w:pPr>
              <w:spacing w:after="60"/>
              <w:jc w:val="both"/>
              <w:rPr>
                <w:rFonts w:ascii="Times New Roman" w:hAnsi="Times New Roman" w:cs="Times New Roman"/>
                <w:b/>
                <w:bCs/>
                <w:sz w:val="18"/>
                <w:szCs w:val="18"/>
                <w:lang w:val="ru-RU"/>
              </w:rPr>
            </w:pPr>
          </w:p>
        </w:tc>
      </w:tr>
      <w:tr w:rsidR="005C6636" w:rsidRPr="001B11AB" w14:paraId="122C969A" w14:textId="77777777" w:rsidTr="002C5FE4">
        <w:tc>
          <w:tcPr>
            <w:tcW w:w="3600" w:type="dxa"/>
          </w:tcPr>
          <w:p w14:paraId="6294FF87" w14:textId="77777777" w:rsidR="00E740BB" w:rsidRPr="001B11AB" w:rsidRDefault="00E740BB" w:rsidP="00897F23">
            <w:pPr>
              <w:spacing w:after="60"/>
              <w:jc w:val="both"/>
              <w:rPr>
                <w:rFonts w:ascii="Times New Roman" w:hAnsi="Times New Roman" w:cs="Times New Roman"/>
                <w:b/>
                <w:bCs/>
                <w:sz w:val="18"/>
                <w:szCs w:val="18"/>
              </w:rPr>
            </w:pPr>
            <w:r w:rsidRPr="001B11AB">
              <w:rPr>
                <w:rFonts w:ascii="Times New Roman" w:hAnsi="Times New Roman" w:cs="Times New Roman"/>
                <w:b/>
                <w:bCs/>
                <w:sz w:val="18"/>
                <w:szCs w:val="18"/>
              </w:rPr>
              <w:t>…</w:t>
            </w:r>
          </w:p>
        </w:tc>
        <w:tc>
          <w:tcPr>
            <w:tcW w:w="2016" w:type="dxa"/>
            <w:vAlign w:val="center"/>
          </w:tcPr>
          <w:p w14:paraId="091BCC45" w14:textId="77777777" w:rsidR="00E740BB" w:rsidRPr="001B11AB" w:rsidRDefault="00E740BB" w:rsidP="00897F23">
            <w:pPr>
              <w:spacing w:after="60"/>
              <w:jc w:val="center"/>
              <w:rPr>
                <w:rFonts w:ascii="Times New Roman" w:hAnsi="Times New Roman" w:cs="Times New Roman"/>
                <w:sz w:val="18"/>
                <w:szCs w:val="18"/>
              </w:rPr>
            </w:pPr>
          </w:p>
        </w:tc>
        <w:tc>
          <w:tcPr>
            <w:tcW w:w="2016" w:type="dxa"/>
          </w:tcPr>
          <w:p w14:paraId="0A781E9A"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3D3AC1E1"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3DB2A1F6" w14:textId="77777777" w:rsidTr="002C5FE4">
        <w:tc>
          <w:tcPr>
            <w:tcW w:w="3600" w:type="dxa"/>
          </w:tcPr>
          <w:p w14:paraId="539A5ED2" w14:textId="77777777" w:rsidR="00E740BB" w:rsidRPr="001B11AB" w:rsidRDefault="00E740BB" w:rsidP="00897F23">
            <w:pPr>
              <w:spacing w:after="60"/>
              <w:jc w:val="both"/>
              <w:rPr>
                <w:rFonts w:ascii="Times New Roman" w:hAnsi="Times New Roman" w:cs="Times New Roman"/>
                <w:b/>
                <w:bCs/>
                <w:sz w:val="18"/>
                <w:szCs w:val="18"/>
              </w:rPr>
            </w:pPr>
          </w:p>
        </w:tc>
        <w:tc>
          <w:tcPr>
            <w:tcW w:w="2016" w:type="dxa"/>
            <w:vAlign w:val="center"/>
          </w:tcPr>
          <w:p w14:paraId="64348610" w14:textId="77777777" w:rsidR="00E740BB" w:rsidRPr="001B11AB" w:rsidRDefault="00E740BB" w:rsidP="00897F23">
            <w:pPr>
              <w:spacing w:after="60"/>
              <w:jc w:val="center"/>
              <w:rPr>
                <w:rFonts w:ascii="Times New Roman" w:hAnsi="Times New Roman" w:cs="Times New Roman"/>
                <w:sz w:val="18"/>
                <w:szCs w:val="18"/>
              </w:rPr>
            </w:pPr>
          </w:p>
        </w:tc>
        <w:tc>
          <w:tcPr>
            <w:tcW w:w="2016" w:type="dxa"/>
          </w:tcPr>
          <w:p w14:paraId="4E08039B"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247F2B73"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2E5E1F93" w14:textId="77777777" w:rsidTr="002C5FE4">
        <w:tc>
          <w:tcPr>
            <w:tcW w:w="3600" w:type="dxa"/>
            <w:shd w:val="clear" w:color="auto" w:fill="F2F2F2" w:themeFill="background1" w:themeFillShade="F2"/>
          </w:tcPr>
          <w:p w14:paraId="08FC2347" w14:textId="77777777" w:rsidR="00E740BB" w:rsidRPr="001B11AB" w:rsidRDefault="00E740BB" w:rsidP="00897F23">
            <w:pPr>
              <w:pStyle w:val="ListParagraph"/>
              <w:numPr>
                <w:ilvl w:val="0"/>
                <w:numId w:val="28"/>
              </w:numPr>
              <w:spacing w:after="60"/>
              <w:ind w:left="363" w:hanging="363"/>
              <w:contextualSpacing w:val="0"/>
              <w:jc w:val="both"/>
              <w:rPr>
                <w:rFonts w:ascii="Times New Roman" w:hAnsi="Times New Roman" w:cs="Times New Roman"/>
                <w:b/>
                <w:bCs/>
                <w:sz w:val="18"/>
                <w:szCs w:val="18"/>
                <w:lang w:val="ru-RU"/>
              </w:rPr>
            </w:pPr>
            <w:r w:rsidRPr="001B11AB">
              <w:rPr>
                <w:rFonts w:ascii="Times New Roman" w:hAnsi="Times New Roman" w:cs="Times New Roman"/>
                <w:b/>
                <w:sz w:val="18"/>
                <w:szCs w:val="18"/>
                <w:lang w:val="ru-RU"/>
              </w:rPr>
              <w:t>Ризици за које се не рачунају минимални капитални захтјеви</w:t>
            </w:r>
          </w:p>
        </w:tc>
        <w:tc>
          <w:tcPr>
            <w:tcW w:w="2016" w:type="dxa"/>
            <w:shd w:val="clear" w:color="auto" w:fill="F2F2F2" w:themeFill="background1" w:themeFillShade="F2"/>
          </w:tcPr>
          <w:p w14:paraId="4BE20427" w14:textId="77777777" w:rsidR="00E740BB" w:rsidRPr="001B11AB" w:rsidRDefault="00E740BB" w:rsidP="00897F23">
            <w:pPr>
              <w:spacing w:after="60"/>
              <w:jc w:val="both"/>
              <w:rPr>
                <w:rFonts w:ascii="Times New Roman" w:hAnsi="Times New Roman" w:cs="Times New Roman"/>
                <w:b/>
                <w:bCs/>
                <w:sz w:val="18"/>
                <w:szCs w:val="18"/>
                <w:lang w:val="ru-RU"/>
              </w:rPr>
            </w:pPr>
          </w:p>
        </w:tc>
        <w:tc>
          <w:tcPr>
            <w:tcW w:w="2016" w:type="dxa"/>
            <w:shd w:val="clear" w:color="auto" w:fill="F2F2F2" w:themeFill="background1" w:themeFillShade="F2"/>
          </w:tcPr>
          <w:p w14:paraId="38C63033" w14:textId="77777777" w:rsidR="00E740BB" w:rsidRPr="001B11AB" w:rsidRDefault="00E740BB" w:rsidP="00897F23">
            <w:pPr>
              <w:spacing w:after="60"/>
              <w:jc w:val="both"/>
              <w:rPr>
                <w:rFonts w:ascii="Times New Roman" w:hAnsi="Times New Roman" w:cs="Times New Roman"/>
                <w:b/>
                <w:bCs/>
                <w:sz w:val="18"/>
                <w:szCs w:val="18"/>
                <w:lang w:val="ru-RU"/>
              </w:rPr>
            </w:pPr>
          </w:p>
        </w:tc>
        <w:tc>
          <w:tcPr>
            <w:tcW w:w="1872" w:type="dxa"/>
            <w:shd w:val="clear" w:color="auto" w:fill="F2F2F2" w:themeFill="background1" w:themeFillShade="F2"/>
          </w:tcPr>
          <w:p w14:paraId="2633DAD0" w14:textId="77777777" w:rsidR="00E740BB" w:rsidRPr="001B11AB" w:rsidRDefault="00E740BB" w:rsidP="00897F23">
            <w:pPr>
              <w:spacing w:after="60"/>
              <w:jc w:val="both"/>
              <w:rPr>
                <w:rFonts w:ascii="Times New Roman" w:hAnsi="Times New Roman" w:cs="Times New Roman"/>
                <w:b/>
                <w:bCs/>
                <w:sz w:val="18"/>
                <w:szCs w:val="18"/>
                <w:lang w:val="ru-RU"/>
              </w:rPr>
            </w:pPr>
          </w:p>
        </w:tc>
      </w:tr>
      <w:tr w:rsidR="005C6636" w:rsidRPr="001B11AB" w14:paraId="49863101" w14:textId="77777777" w:rsidTr="002C5FE4">
        <w:tc>
          <w:tcPr>
            <w:tcW w:w="3600" w:type="dxa"/>
          </w:tcPr>
          <w:p w14:paraId="6BEE2537" w14:textId="77777777" w:rsidR="00E740BB" w:rsidRPr="001B11AB" w:rsidRDefault="00E740BB" w:rsidP="00897F23">
            <w:pPr>
              <w:spacing w:after="60"/>
              <w:jc w:val="both"/>
              <w:rPr>
                <w:rFonts w:ascii="Times New Roman" w:hAnsi="Times New Roman" w:cs="Times New Roman"/>
                <w:b/>
                <w:bCs/>
                <w:sz w:val="18"/>
                <w:szCs w:val="18"/>
              </w:rPr>
            </w:pPr>
            <w:r w:rsidRPr="001B11AB">
              <w:rPr>
                <w:rFonts w:ascii="Times New Roman" w:hAnsi="Times New Roman" w:cs="Times New Roman"/>
                <w:b/>
                <w:bCs/>
                <w:sz w:val="18"/>
                <w:szCs w:val="18"/>
              </w:rPr>
              <w:t>…</w:t>
            </w:r>
          </w:p>
        </w:tc>
        <w:tc>
          <w:tcPr>
            <w:tcW w:w="2016" w:type="dxa"/>
          </w:tcPr>
          <w:p w14:paraId="2A168E84" w14:textId="77777777" w:rsidR="00E740BB" w:rsidRPr="001B11AB" w:rsidRDefault="00E740BB" w:rsidP="00897F23">
            <w:pPr>
              <w:spacing w:after="60"/>
              <w:jc w:val="both"/>
              <w:rPr>
                <w:rFonts w:ascii="Times New Roman" w:hAnsi="Times New Roman" w:cs="Times New Roman"/>
                <w:b/>
                <w:bCs/>
                <w:sz w:val="18"/>
                <w:szCs w:val="18"/>
              </w:rPr>
            </w:pPr>
          </w:p>
        </w:tc>
        <w:tc>
          <w:tcPr>
            <w:tcW w:w="2016" w:type="dxa"/>
          </w:tcPr>
          <w:p w14:paraId="3E662835"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70215351"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75EEBD6B" w14:textId="77777777" w:rsidTr="002C5FE4">
        <w:tc>
          <w:tcPr>
            <w:tcW w:w="3600" w:type="dxa"/>
            <w:vAlign w:val="center"/>
          </w:tcPr>
          <w:p w14:paraId="3C12C077" w14:textId="77777777" w:rsidR="00E740BB" w:rsidRPr="001B11AB" w:rsidRDefault="00E740BB" w:rsidP="00897F23">
            <w:pPr>
              <w:spacing w:after="60"/>
              <w:rPr>
                <w:rFonts w:ascii="Times New Roman" w:hAnsi="Times New Roman" w:cs="Times New Roman"/>
                <w:sz w:val="18"/>
                <w:szCs w:val="18"/>
              </w:rPr>
            </w:pPr>
          </w:p>
        </w:tc>
        <w:tc>
          <w:tcPr>
            <w:tcW w:w="2016" w:type="dxa"/>
            <w:vAlign w:val="center"/>
          </w:tcPr>
          <w:p w14:paraId="366E6B8C" w14:textId="77777777" w:rsidR="00E740BB" w:rsidRPr="001B11AB" w:rsidRDefault="00E740BB" w:rsidP="00897F23">
            <w:pPr>
              <w:spacing w:after="60"/>
              <w:jc w:val="center"/>
              <w:rPr>
                <w:rFonts w:ascii="Times New Roman" w:hAnsi="Times New Roman" w:cs="Times New Roman"/>
                <w:sz w:val="18"/>
                <w:szCs w:val="18"/>
              </w:rPr>
            </w:pPr>
          </w:p>
        </w:tc>
        <w:tc>
          <w:tcPr>
            <w:tcW w:w="2016" w:type="dxa"/>
          </w:tcPr>
          <w:p w14:paraId="4520BD4A"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140A9B26"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29699E40" w14:textId="77777777" w:rsidTr="002C5FE4">
        <w:tc>
          <w:tcPr>
            <w:tcW w:w="3600" w:type="dxa"/>
            <w:shd w:val="clear" w:color="auto" w:fill="F2F2F2" w:themeFill="background1" w:themeFillShade="F2"/>
            <w:vAlign w:val="center"/>
          </w:tcPr>
          <w:p w14:paraId="62E5B00C" w14:textId="77777777" w:rsidR="00E740BB" w:rsidRPr="001B11AB" w:rsidRDefault="00E740BB" w:rsidP="00897F23">
            <w:pPr>
              <w:pStyle w:val="ListParagraph"/>
              <w:numPr>
                <w:ilvl w:val="0"/>
                <w:numId w:val="28"/>
              </w:numPr>
              <w:spacing w:after="60"/>
              <w:ind w:left="363" w:hanging="363"/>
              <w:contextualSpacing w:val="0"/>
              <w:rPr>
                <w:rFonts w:ascii="Times New Roman" w:hAnsi="Times New Roman" w:cs="Times New Roman"/>
                <w:b/>
                <w:sz w:val="18"/>
                <w:szCs w:val="18"/>
              </w:rPr>
            </w:pPr>
            <w:r w:rsidRPr="001B11AB">
              <w:rPr>
                <w:rFonts w:ascii="Times New Roman" w:hAnsi="Times New Roman" w:cs="Times New Roman"/>
                <w:b/>
                <w:sz w:val="18"/>
                <w:szCs w:val="18"/>
              </w:rPr>
              <w:t>Вањски фактори</w:t>
            </w:r>
          </w:p>
        </w:tc>
        <w:tc>
          <w:tcPr>
            <w:tcW w:w="2016" w:type="dxa"/>
            <w:shd w:val="clear" w:color="auto" w:fill="F2F2F2" w:themeFill="background1" w:themeFillShade="F2"/>
            <w:vAlign w:val="center"/>
          </w:tcPr>
          <w:p w14:paraId="209FB811" w14:textId="77777777" w:rsidR="00E740BB" w:rsidRPr="001B11AB" w:rsidRDefault="00E740BB" w:rsidP="00897F23">
            <w:pPr>
              <w:spacing w:after="60"/>
              <w:jc w:val="center"/>
              <w:rPr>
                <w:rFonts w:ascii="Times New Roman" w:hAnsi="Times New Roman" w:cs="Times New Roman"/>
                <w:sz w:val="18"/>
                <w:szCs w:val="18"/>
              </w:rPr>
            </w:pPr>
          </w:p>
        </w:tc>
        <w:tc>
          <w:tcPr>
            <w:tcW w:w="2016" w:type="dxa"/>
            <w:shd w:val="clear" w:color="auto" w:fill="F2F2F2" w:themeFill="background1" w:themeFillShade="F2"/>
          </w:tcPr>
          <w:p w14:paraId="2A6539BF"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shd w:val="clear" w:color="auto" w:fill="F2F2F2" w:themeFill="background1" w:themeFillShade="F2"/>
          </w:tcPr>
          <w:p w14:paraId="08651880"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01E3FF20" w14:textId="77777777" w:rsidTr="002C5FE4">
        <w:tc>
          <w:tcPr>
            <w:tcW w:w="3600" w:type="dxa"/>
            <w:vAlign w:val="center"/>
          </w:tcPr>
          <w:p w14:paraId="53E8B61F" w14:textId="77777777" w:rsidR="00E740BB" w:rsidRPr="001B11AB" w:rsidRDefault="00E740BB" w:rsidP="00897F23">
            <w:pPr>
              <w:spacing w:after="60"/>
              <w:rPr>
                <w:rFonts w:ascii="Times New Roman" w:hAnsi="Times New Roman" w:cs="Times New Roman"/>
                <w:sz w:val="18"/>
                <w:szCs w:val="18"/>
              </w:rPr>
            </w:pPr>
            <w:r w:rsidRPr="001B11AB">
              <w:rPr>
                <w:rFonts w:ascii="Times New Roman" w:hAnsi="Times New Roman" w:cs="Times New Roman"/>
                <w:sz w:val="18"/>
                <w:szCs w:val="18"/>
              </w:rPr>
              <w:t>…</w:t>
            </w:r>
          </w:p>
        </w:tc>
        <w:tc>
          <w:tcPr>
            <w:tcW w:w="2016" w:type="dxa"/>
            <w:vAlign w:val="center"/>
          </w:tcPr>
          <w:p w14:paraId="219F97EF" w14:textId="77777777" w:rsidR="00E740BB" w:rsidRPr="001B11AB" w:rsidRDefault="00E740BB" w:rsidP="00897F23">
            <w:pPr>
              <w:spacing w:after="60"/>
              <w:jc w:val="center"/>
              <w:rPr>
                <w:rFonts w:ascii="Times New Roman" w:hAnsi="Times New Roman" w:cs="Times New Roman"/>
                <w:sz w:val="18"/>
                <w:szCs w:val="18"/>
              </w:rPr>
            </w:pPr>
          </w:p>
        </w:tc>
        <w:tc>
          <w:tcPr>
            <w:tcW w:w="2016" w:type="dxa"/>
          </w:tcPr>
          <w:p w14:paraId="0294690B"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128E8DD6"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244DD471" w14:textId="77777777" w:rsidTr="002C5FE4">
        <w:trPr>
          <w:trHeight w:val="197"/>
        </w:trPr>
        <w:tc>
          <w:tcPr>
            <w:tcW w:w="3600" w:type="dxa"/>
            <w:vAlign w:val="center"/>
          </w:tcPr>
          <w:p w14:paraId="22BF1178" w14:textId="77777777" w:rsidR="00E740BB" w:rsidRPr="001B11AB" w:rsidRDefault="00E740BB" w:rsidP="00897F23">
            <w:pPr>
              <w:spacing w:after="60"/>
              <w:rPr>
                <w:rFonts w:ascii="Times New Roman" w:hAnsi="Times New Roman" w:cs="Times New Roman"/>
                <w:sz w:val="18"/>
                <w:szCs w:val="18"/>
              </w:rPr>
            </w:pPr>
          </w:p>
        </w:tc>
        <w:tc>
          <w:tcPr>
            <w:tcW w:w="2016" w:type="dxa"/>
            <w:vAlign w:val="center"/>
          </w:tcPr>
          <w:p w14:paraId="170DEDD5" w14:textId="77777777" w:rsidR="00E740BB" w:rsidRPr="001B11AB" w:rsidRDefault="00E740BB" w:rsidP="00897F23">
            <w:pPr>
              <w:spacing w:after="60"/>
              <w:jc w:val="center"/>
              <w:rPr>
                <w:rFonts w:ascii="Times New Roman" w:hAnsi="Times New Roman" w:cs="Times New Roman"/>
                <w:sz w:val="18"/>
                <w:szCs w:val="18"/>
              </w:rPr>
            </w:pPr>
          </w:p>
        </w:tc>
        <w:tc>
          <w:tcPr>
            <w:tcW w:w="2016" w:type="dxa"/>
          </w:tcPr>
          <w:p w14:paraId="0C69C891" w14:textId="77777777" w:rsidR="00E740BB" w:rsidRPr="001B11AB" w:rsidRDefault="00E740BB" w:rsidP="00897F23">
            <w:pPr>
              <w:spacing w:after="60"/>
              <w:jc w:val="both"/>
              <w:rPr>
                <w:rFonts w:ascii="Times New Roman" w:hAnsi="Times New Roman" w:cs="Times New Roman"/>
                <w:b/>
                <w:bCs/>
                <w:sz w:val="18"/>
                <w:szCs w:val="18"/>
              </w:rPr>
            </w:pPr>
          </w:p>
        </w:tc>
        <w:tc>
          <w:tcPr>
            <w:tcW w:w="1872" w:type="dxa"/>
          </w:tcPr>
          <w:p w14:paraId="51402164" w14:textId="77777777" w:rsidR="00E740BB" w:rsidRPr="001B11AB" w:rsidRDefault="00E740BB" w:rsidP="00897F23">
            <w:pPr>
              <w:spacing w:after="60"/>
              <w:jc w:val="both"/>
              <w:rPr>
                <w:rFonts w:ascii="Times New Roman" w:hAnsi="Times New Roman" w:cs="Times New Roman"/>
                <w:b/>
                <w:bCs/>
                <w:sz w:val="18"/>
                <w:szCs w:val="18"/>
              </w:rPr>
            </w:pPr>
          </w:p>
        </w:tc>
      </w:tr>
      <w:tr w:rsidR="005C6636" w:rsidRPr="001B11AB" w14:paraId="61809039" w14:textId="77777777" w:rsidTr="002C5FE4">
        <w:trPr>
          <w:trHeight w:val="576"/>
        </w:trPr>
        <w:tc>
          <w:tcPr>
            <w:tcW w:w="3600" w:type="dxa"/>
            <w:shd w:val="clear" w:color="auto" w:fill="FFFFFF" w:themeFill="background1"/>
            <w:vAlign w:val="center"/>
          </w:tcPr>
          <w:p w14:paraId="11E42E3C" w14:textId="77777777" w:rsidR="00997AB1" w:rsidRPr="001B11AB" w:rsidRDefault="00E740BB" w:rsidP="00997AB1">
            <w:pPr>
              <w:spacing w:after="60"/>
              <w:rPr>
                <w:rFonts w:ascii="Times New Roman" w:hAnsi="Times New Roman" w:cs="Times New Roman"/>
                <w:b/>
                <w:sz w:val="18"/>
                <w:szCs w:val="18"/>
                <w:lang w:val="ru-RU"/>
              </w:rPr>
            </w:pPr>
            <w:r w:rsidRPr="001B11AB">
              <w:rPr>
                <w:rFonts w:ascii="Times New Roman" w:hAnsi="Times New Roman" w:cs="Times New Roman"/>
                <w:b/>
                <w:sz w:val="18"/>
                <w:szCs w:val="18"/>
                <w:lang w:val="ru-RU"/>
              </w:rPr>
              <w:t xml:space="preserve">Б) Укупни капитални захтјеви </w:t>
            </w:r>
          </w:p>
          <w:p w14:paraId="58DBC818" w14:textId="79CE7F8C" w:rsidR="00E740BB" w:rsidRPr="001B11AB" w:rsidRDefault="00E740BB" w:rsidP="00997AB1">
            <w:pPr>
              <w:spacing w:after="60"/>
              <w:rPr>
                <w:rFonts w:ascii="Times New Roman" w:hAnsi="Times New Roman" w:cs="Times New Roman"/>
                <w:b/>
                <w:sz w:val="18"/>
                <w:szCs w:val="18"/>
                <w:lang w:val="ru-RU"/>
              </w:rPr>
            </w:pPr>
            <w:r w:rsidRPr="001B11AB">
              <w:rPr>
                <w:rFonts w:ascii="Times New Roman" w:hAnsi="Times New Roman" w:cs="Times New Roman"/>
                <w:bCs/>
                <w:sz w:val="18"/>
                <w:szCs w:val="18"/>
                <w:lang w:val="ru-RU"/>
              </w:rPr>
              <w:t>(</w:t>
            </w:r>
            <w:r w:rsidRPr="001B11AB">
              <w:rPr>
                <w:rFonts w:ascii="Times New Roman" w:hAnsi="Times New Roman" w:cs="Times New Roman"/>
                <w:bCs/>
                <w:i/>
                <w:sz w:val="18"/>
                <w:szCs w:val="18"/>
                <w:lang w:val="ru-RU"/>
              </w:rPr>
              <w:t>збир капиталних захтјева за појединачне ризике</w:t>
            </w:r>
            <w:r w:rsidRPr="001B11AB">
              <w:rPr>
                <w:rFonts w:ascii="Times New Roman" w:hAnsi="Times New Roman" w:cs="Times New Roman"/>
                <w:bCs/>
                <w:sz w:val="18"/>
                <w:szCs w:val="18"/>
                <w:lang w:val="ru-RU"/>
              </w:rPr>
              <w:t>)</w:t>
            </w:r>
          </w:p>
        </w:tc>
        <w:tc>
          <w:tcPr>
            <w:tcW w:w="2016" w:type="dxa"/>
            <w:shd w:val="clear" w:color="auto" w:fill="FFFFFF" w:themeFill="background1"/>
            <w:vAlign w:val="center"/>
          </w:tcPr>
          <w:p w14:paraId="029820C8" w14:textId="77777777" w:rsidR="00E740BB" w:rsidRPr="001B11AB" w:rsidRDefault="00E740BB" w:rsidP="00897F23">
            <w:pPr>
              <w:spacing w:after="60"/>
              <w:rPr>
                <w:rFonts w:ascii="Times New Roman" w:hAnsi="Times New Roman" w:cs="Times New Roman"/>
                <w:sz w:val="18"/>
                <w:szCs w:val="18"/>
                <w:lang w:val="ru-RU"/>
              </w:rPr>
            </w:pPr>
          </w:p>
        </w:tc>
        <w:tc>
          <w:tcPr>
            <w:tcW w:w="2016" w:type="dxa"/>
            <w:shd w:val="clear" w:color="auto" w:fill="FFFFFF" w:themeFill="background1"/>
          </w:tcPr>
          <w:p w14:paraId="212E46E4" w14:textId="77777777" w:rsidR="00E740BB" w:rsidRPr="001B11AB" w:rsidRDefault="00E740BB" w:rsidP="00897F23">
            <w:pPr>
              <w:spacing w:after="60"/>
              <w:rPr>
                <w:rFonts w:ascii="Times New Roman" w:hAnsi="Times New Roman" w:cs="Times New Roman"/>
                <w:bCs/>
                <w:sz w:val="18"/>
                <w:szCs w:val="18"/>
                <w:lang w:val="ru-RU"/>
              </w:rPr>
            </w:pPr>
          </w:p>
        </w:tc>
        <w:tc>
          <w:tcPr>
            <w:tcW w:w="1872" w:type="dxa"/>
            <w:shd w:val="clear" w:color="auto" w:fill="D9D9D9" w:themeFill="background1" w:themeFillShade="D9"/>
          </w:tcPr>
          <w:p w14:paraId="07624F15" w14:textId="77777777" w:rsidR="00E740BB" w:rsidRPr="001B11AB" w:rsidRDefault="00E740BB" w:rsidP="00897F23">
            <w:pPr>
              <w:spacing w:after="60"/>
              <w:rPr>
                <w:rFonts w:ascii="Times New Roman" w:hAnsi="Times New Roman" w:cs="Times New Roman"/>
                <w:bCs/>
                <w:sz w:val="18"/>
                <w:szCs w:val="18"/>
                <w:lang w:val="ru-RU"/>
              </w:rPr>
            </w:pPr>
          </w:p>
        </w:tc>
      </w:tr>
      <w:tr w:rsidR="005C6636" w:rsidRPr="001B11AB" w14:paraId="2B93DDDB" w14:textId="77777777" w:rsidTr="002C5FE4">
        <w:tc>
          <w:tcPr>
            <w:tcW w:w="3600" w:type="dxa"/>
            <w:vAlign w:val="center"/>
          </w:tcPr>
          <w:p w14:paraId="1C29D25F" w14:textId="77777777" w:rsidR="00E740BB" w:rsidRPr="001B11AB" w:rsidRDefault="00E740BB" w:rsidP="00897F23">
            <w:pPr>
              <w:spacing w:after="60"/>
              <w:rPr>
                <w:rFonts w:ascii="Times New Roman" w:hAnsi="Times New Roman" w:cs="Times New Roman"/>
                <w:b/>
                <w:sz w:val="18"/>
                <w:szCs w:val="18"/>
                <w:lang w:val="ru-RU"/>
              </w:rPr>
            </w:pPr>
          </w:p>
        </w:tc>
        <w:tc>
          <w:tcPr>
            <w:tcW w:w="2016" w:type="dxa"/>
            <w:vAlign w:val="center"/>
          </w:tcPr>
          <w:p w14:paraId="0B783D10" w14:textId="77777777" w:rsidR="00E740BB" w:rsidRPr="001B11AB" w:rsidRDefault="00E740BB" w:rsidP="00897F23">
            <w:pPr>
              <w:spacing w:after="60"/>
              <w:jc w:val="center"/>
              <w:rPr>
                <w:rFonts w:ascii="Times New Roman" w:hAnsi="Times New Roman" w:cs="Times New Roman"/>
                <w:i/>
                <w:sz w:val="18"/>
                <w:szCs w:val="18"/>
                <w:lang w:val="ru-RU"/>
              </w:rPr>
            </w:pPr>
          </w:p>
        </w:tc>
        <w:tc>
          <w:tcPr>
            <w:tcW w:w="2016" w:type="dxa"/>
            <w:vAlign w:val="center"/>
          </w:tcPr>
          <w:p w14:paraId="1ECB4B48" w14:textId="77777777" w:rsidR="00E740BB" w:rsidRPr="001B11AB" w:rsidRDefault="00E740BB" w:rsidP="00897F23">
            <w:pPr>
              <w:spacing w:after="60"/>
              <w:jc w:val="center"/>
              <w:rPr>
                <w:rFonts w:ascii="Times New Roman" w:hAnsi="Times New Roman" w:cs="Times New Roman"/>
                <w:b/>
                <w:bCs/>
                <w:sz w:val="18"/>
                <w:szCs w:val="18"/>
                <w:lang w:val="ru-RU"/>
              </w:rPr>
            </w:pPr>
          </w:p>
        </w:tc>
        <w:tc>
          <w:tcPr>
            <w:tcW w:w="1872" w:type="dxa"/>
            <w:shd w:val="clear" w:color="auto" w:fill="auto"/>
          </w:tcPr>
          <w:p w14:paraId="7813D308" w14:textId="77777777" w:rsidR="00E740BB" w:rsidRPr="001B11AB" w:rsidRDefault="00E740BB" w:rsidP="00897F23">
            <w:pPr>
              <w:spacing w:after="60"/>
              <w:rPr>
                <w:rFonts w:ascii="Times New Roman" w:hAnsi="Times New Roman" w:cs="Times New Roman"/>
                <w:bCs/>
                <w:sz w:val="18"/>
                <w:szCs w:val="18"/>
                <w:lang w:val="ru-RU"/>
              </w:rPr>
            </w:pPr>
          </w:p>
        </w:tc>
      </w:tr>
      <w:tr w:rsidR="005C6636" w:rsidRPr="001B11AB" w14:paraId="4F0B599E" w14:textId="77777777" w:rsidTr="002C5FE4">
        <w:tc>
          <w:tcPr>
            <w:tcW w:w="3600" w:type="dxa"/>
            <w:vAlign w:val="center"/>
          </w:tcPr>
          <w:p w14:paraId="62B2EF73" w14:textId="6D553E11" w:rsidR="00E740BB" w:rsidRPr="001B11AB" w:rsidRDefault="00CC726D" w:rsidP="00897F23">
            <w:pPr>
              <w:spacing w:after="60"/>
              <w:rPr>
                <w:rFonts w:ascii="Times New Roman" w:hAnsi="Times New Roman" w:cs="Times New Roman"/>
                <w:b/>
                <w:sz w:val="18"/>
                <w:szCs w:val="18"/>
                <w:lang w:val="ru-RU"/>
              </w:rPr>
            </w:pPr>
            <w:r w:rsidRPr="001B11AB">
              <w:rPr>
                <w:rFonts w:ascii="Times New Roman" w:hAnsi="Times New Roman" w:cs="Times New Roman"/>
                <w:b/>
                <w:sz w:val="18"/>
                <w:szCs w:val="18"/>
                <w:lang w:val="ru-RU"/>
              </w:rPr>
              <w:t>Вишак/мањак капитала (А–</w:t>
            </w:r>
            <w:r w:rsidR="00E740BB" w:rsidRPr="001B11AB">
              <w:rPr>
                <w:rFonts w:ascii="Times New Roman" w:hAnsi="Times New Roman" w:cs="Times New Roman"/>
                <w:b/>
                <w:sz w:val="18"/>
                <w:szCs w:val="18"/>
                <w:lang w:val="ru-RU"/>
              </w:rPr>
              <w:t>Б)</w:t>
            </w:r>
          </w:p>
        </w:tc>
        <w:tc>
          <w:tcPr>
            <w:tcW w:w="2016" w:type="dxa"/>
            <w:vAlign w:val="center"/>
          </w:tcPr>
          <w:p w14:paraId="05990744" w14:textId="77777777" w:rsidR="00E740BB" w:rsidRPr="001B11AB" w:rsidRDefault="00E740BB" w:rsidP="00897F23">
            <w:pPr>
              <w:spacing w:after="60"/>
              <w:jc w:val="center"/>
              <w:rPr>
                <w:rFonts w:ascii="Times New Roman" w:hAnsi="Times New Roman" w:cs="Times New Roman"/>
                <w:i/>
                <w:sz w:val="18"/>
                <w:szCs w:val="18"/>
                <w:lang w:val="ru-RU"/>
              </w:rPr>
            </w:pPr>
          </w:p>
        </w:tc>
        <w:tc>
          <w:tcPr>
            <w:tcW w:w="2016" w:type="dxa"/>
            <w:vAlign w:val="center"/>
          </w:tcPr>
          <w:p w14:paraId="5AB8722D" w14:textId="77777777" w:rsidR="00E740BB" w:rsidRPr="001B11AB" w:rsidRDefault="00E740BB" w:rsidP="00897F23">
            <w:pPr>
              <w:spacing w:after="60"/>
              <w:jc w:val="center"/>
              <w:rPr>
                <w:rFonts w:ascii="Times New Roman" w:hAnsi="Times New Roman" w:cs="Times New Roman"/>
                <w:b/>
                <w:bCs/>
                <w:sz w:val="18"/>
                <w:szCs w:val="18"/>
                <w:lang w:val="ru-RU"/>
              </w:rPr>
            </w:pPr>
          </w:p>
        </w:tc>
        <w:tc>
          <w:tcPr>
            <w:tcW w:w="1872" w:type="dxa"/>
            <w:shd w:val="clear" w:color="auto" w:fill="D9D9D9" w:themeFill="background1" w:themeFillShade="D9"/>
          </w:tcPr>
          <w:p w14:paraId="71010435" w14:textId="77777777" w:rsidR="00E740BB" w:rsidRPr="001B11AB" w:rsidRDefault="00E740BB" w:rsidP="00897F23">
            <w:pPr>
              <w:spacing w:after="60"/>
              <w:rPr>
                <w:rFonts w:ascii="Times New Roman" w:hAnsi="Times New Roman" w:cs="Times New Roman"/>
                <w:bCs/>
                <w:sz w:val="18"/>
                <w:szCs w:val="18"/>
                <w:lang w:val="ru-RU"/>
              </w:rPr>
            </w:pPr>
          </w:p>
        </w:tc>
      </w:tr>
      <w:tr w:rsidR="005C6636" w:rsidRPr="001B11AB" w14:paraId="6D2C26AF" w14:textId="77777777" w:rsidTr="002C5FE4">
        <w:tc>
          <w:tcPr>
            <w:tcW w:w="3600" w:type="dxa"/>
            <w:shd w:val="clear" w:color="auto" w:fill="F2F2F2" w:themeFill="background1" w:themeFillShade="F2"/>
            <w:vAlign w:val="center"/>
          </w:tcPr>
          <w:p w14:paraId="0179DFB0" w14:textId="77777777" w:rsidR="00E740BB" w:rsidRPr="001B11AB" w:rsidRDefault="00E740BB" w:rsidP="00897F23">
            <w:pPr>
              <w:spacing w:after="60"/>
              <w:rPr>
                <w:rFonts w:ascii="Times New Roman" w:hAnsi="Times New Roman" w:cs="Times New Roman"/>
                <w:bCs/>
                <w:sz w:val="18"/>
                <w:szCs w:val="18"/>
                <w:lang w:val="ru-RU"/>
              </w:rPr>
            </w:pPr>
          </w:p>
        </w:tc>
        <w:tc>
          <w:tcPr>
            <w:tcW w:w="2016" w:type="dxa"/>
            <w:shd w:val="clear" w:color="auto" w:fill="F2F2F2" w:themeFill="background1" w:themeFillShade="F2"/>
            <w:vAlign w:val="center"/>
          </w:tcPr>
          <w:p w14:paraId="3B871BE2" w14:textId="77777777" w:rsidR="00E740BB" w:rsidRPr="001B11AB" w:rsidRDefault="00E740BB" w:rsidP="00897F23">
            <w:pPr>
              <w:spacing w:after="60"/>
              <w:rPr>
                <w:rFonts w:ascii="Times New Roman" w:hAnsi="Times New Roman" w:cs="Times New Roman"/>
                <w:bCs/>
                <w:sz w:val="18"/>
                <w:szCs w:val="18"/>
                <w:lang w:val="ru-RU"/>
              </w:rPr>
            </w:pPr>
          </w:p>
        </w:tc>
        <w:tc>
          <w:tcPr>
            <w:tcW w:w="2016" w:type="dxa"/>
            <w:shd w:val="clear" w:color="auto" w:fill="F2F2F2" w:themeFill="background1" w:themeFillShade="F2"/>
          </w:tcPr>
          <w:p w14:paraId="494588BD" w14:textId="77777777" w:rsidR="00E740BB" w:rsidRPr="001B11AB" w:rsidRDefault="00E740BB" w:rsidP="00897F23">
            <w:pPr>
              <w:spacing w:after="60"/>
              <w:rPr>
                <w:rFonts w:ascii="Times New Roman" w:hAnsi="Times New Roman" w:cs="Times New Roman"/>
                <w:bCs/>
                <w:sz w:val="18"/>
                <w:szCs w:val="18"/>
                <w:lang w:val="ru-RU"/>
              </w:rPr>
            </w:pPr>
          </w:p>
        </w:tc>
        <w:tc>
          <w:tcPr>
            <w:tcW w:w="1872" w:type="dxa"/>
            <w:shd w:val="clear" w:color="auto" w:fill="F2F2F2" w:themeFill="background1" w:themeFillShade="F2"/>
          </w:tcPr>
          <w:p w14:paraId="0B9BA596" w14:textId="77777777" w:rsidR="00E740BB" w:rsidRPr="001B11AB" w:rsidRDefault="00E740BB" w:rsidP="00897F23">
            <w:pPr>
              <w:spacing w:after="60"/>
              <w:rPr>
                <w:rFonts w:ascii="Times New Roman" w:hAnsi="Times New Roman" w:cs="Times New Roman"/>
                <w:bCs/>
                <w:sz w:val="18"/>
                <w:szCs w:val="18"/>
                <w:lang w:val="ru-RU"/>
              </w:rPr>
            </w:pPr>
          </w:p>
        </w:tc>
      </w:tr>
    </w:tbl>
    <w:p w14:paraId="289C8E5A" w14:textId="77777777" w:rsidR="003D782E" w:rsidRPr="001B11AB" w:rsidRDefault="003D782E" w:rsidP="00D20866">
      <w:pPr>
        <w:spacing w:after="0" w:line="240" w:lineRule="auto"/>
        <w:jc w:val="both"/>
        <w:rPr>
          <w:rFonts w:ascii="Times New Roman" w:hAnsi="Times New Roman" w:cs="Times New Roman"/>
          <w:b/>
          <w:lang w:val="hr-HR"/>
        </w:rPr>
        <w:sectPr w:rsidR="003D782E" w:rsidRPr="001B11AB" w:rsidSect="00D20866">
          <w:pgSz w:w="11907" w:h="16840" w:code="9"/>
          <w:pgMar w:top="1418" w:right="1134" w:bottom="1134" w:left="1418" w:header="510" w:footer="397" w:gutter="0"/>
          <w:cols w:space="708"/>
          <w:docGrid w:linePitch="360"/>
        </w:sectPr>
      </w:pPr>
    </w:p>
    <w:p w14:paraId="7EF3FC29" w14:textId="032D2C77" w:rsidR="00E740BB" w:rsidRPr="001B11AB" w:rsidRDefault="00E740BB" w:rsidP="003B73A4">
      <w:pPr>
        <w:pStyle w:val="Heading2"/>
        <w:numPr>
          <w:ilvl w:val="0"/>
          <w:numId w:val="27"/>
        </w:numPr>
        <w:spacing w:before="0" w:line="240" w:lineRule="auto"/>
        <w:ind w:left="709"/>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lastRenderedPageBreak/>
        <w:t>ПЛАНИРАЊЕ КАПИТАЛА</w:t>
      </w:r>
    </w:p>
    <w:p w14:paraId="01C3DF6E" w14:textId="77777777" w:rsidR="003D782E" w:rsidRPr="001B11AB" w:rsidRDefault="003D782E" w:rsidP="003D782E">
      <w:pPr>
        <w:spacing w:after="0" w:line="240" w:lineRule="auto"/>
        <w:rPr>
          <w:lang w:val="ru-RU"/>
        </w:rPr>
      </w:pPr>
    </w:p>
    <w:tbl>
      <w:tblPr>
        <w:tblStyle w:val="TableGrid"/>
        <w:tblW w:w="9356" w:type="dxa"/>
        <w:tblInd w:w="108" w:type="dxa"/>
        <w:tblLook w:val="04A0" w:firstRow="1" w:lastRow="0" w:firstColumn="1" w:lastColumn="0" w:noHBand="0" w:noVBand="1"/>
      </w:tblPr>
      <w:tblGrid>
        <w:gridCol w:w="9356"/>
      </w:tblGrid>
      <w:tr w:rsidR="005C6636" w:rsidRPr="001B11AB" w14:paraId="1BD215D0" w14:textId="77777777" w:rsidTr="00860B5A">
        <w:tc>
          <w:tcPr>
            <w:tcW w:w="9356" w:type="dxa"/>
            <w:tcBorders>
              <w:bottom w:val="single" w:sz="4" w:space="0" w:color="auto"/>
            </w:tcBorders>
            <w:shd w:val="clear" w:color="auto" w:fill="F2F2F2" w:themeFill="background1" w:themeFillShade="F2"/>
          </w:tcPr>
          <w:p w14:paraId="711DB5BD" w14:textId="77777777" w:rsidR="00E740BB" w:rsidRPr="001B11AB" w:rsidRDefault="00E740BB" w:rsidP="00897F23">
            <w:pPr>
              <w:spacing w:after="60"/>
              <w:jc w:val="both"/>
              <w:rPr>
                <w:rFonts w:ascii="Times New Roman" w:hAnsi="Times New Roman" w:cs="Times New Roman"/>
                <w:sz w:val="20"/>
                <w:szCs w:val="20"/>
              </w:rPr>
            </w:pPr>
            <w:r w:rsidRPr="001B11AB">
              <w:rPr>
                <w:rFonts w:ascii="Times New Roman" w:hAnsi="Times New Roman" w:cs="Times New Roman"/>
                <w:b/>
                <w:sz w:val="20"/>
                <w:szCs w:val="20"/>
              </w:rPr>
              <w:t xml:space="preserve">7. </w:t>
            </w:r>
            <w:r w:rsidRPr="001B11AB">
              <w:rPr>
                <w:rFonts w:ascii="Times New Roman" w:hAnsi="Times New Roman" w:cs="Times New Roman"/>
                <w:b/>
                <w:bCs/>
                <w:sz w:val="18"/>
                <w:szCs w:val="18"/>
              </w:rPr>
              <w:t>Планирање капитала</w:t>
            </w:r>
          </w:p>
        </w:tc>
      </w:tr>
      <w:tr w:rsidR="005C6636" w:rsidRPr="001B11AB" w14:paraId="1C7CEF6C" w14:textId="77777777" w:rsidTr="00860B5A">
        <w:tc>
          <w:tcPr>
            <w:tcW w:w="9356" w:type="dxa"/>
            <w:shd w:val="clear" w:color="auto" w:fill="auto"/>
          </w:tcPr>
          <w:p w14:paraId="659B93AB"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sr-Cyrl-CS"/>
              </w:rPr>
              <w:t xml:space="preserve">[Банка наводи анализу разлика између планираног износа капитала за годину за коју сачињава овај извјештај и утврђених укупних интерних капиталних захтјева израчунатих у складу са резултатима </w:t>
            </w:r>
            <w:r w:rsidRPr="001B11AB">
              <w:rPr>
                <w:rFonts w:ascii="Times New Roman" w:hAnsi="Times New Roman" w:cs="Times New Roman"/>
                <w:bCs/>
                <w:i/>
                <w:sz w:val="20"/>
                <w:szCs w:val="20"/>
              </w:rPr>
              <w:t>ICAAP</w:t>
            </w:r>
            <w:r w:rsidRPr="001B11AB">
              <w:rPr>
                <w:rFonts w:ascii="Times New Roman" w:hAnsi="Times New Roman" w:cs="Times New Roman"/>
                <w:bCs/>
                <w:i/>
                <w:sz w:val="20"/>
                <w:szCs w:val="20"/>
                <w:lang w:val="ru-RU"/>
              </w:rPr>
              <w:t>-</w:t>
            </w:r>
            <w:r w:rsidRPr="001B11AB">
              <w:rPr>
                <w:rFonts w:ascii="Times New Roman" w:hAnsi="Times New Roman" w:cs="Times New Roman"/>
                <w:bCs/>
                <w:i/>
                <w:sz w:val="20"/>
                <w:szCs w:val="20"/>
              </w:rPr>
              <w:t>a</w:t>
            </w:r>
            <w:r w:rsidRPr="001B11AB">
              <w:rPr>
                <w:rFonts w:ascii="Times New Roman" w:hAnsi="Times New Roman" w:cs="Times New Roman"/>
                <w:i/>
                <w:sz w:val="20"/>
                <w:szCs w:val="20"/>
                <w:lang w:val="sr-Cyrl-CS"/>
              </w:rPr>
              <w:t xml:space="preserve"> на исти датум.]</w:t>
            </w:r>
            <w:r w:rsidR="0059493D" w:rsidRPr="001B11AB">
              <w:rPr>
                <w:rFonts w:ascii="Times New Roman" w:hAnsi="Times New Roman" w:cs="Times New Roman"/>
                <w:sz w:val="18"/>
                <w:szCs w:val="18"/>
                <w:lang w:val="ru-RU"/>
              </w:rPr>
              <w:t xml:space="preserve"> </w:t>
            </w:r>
          </w:p>
        </w:tc>
      </w:tr>
      <w:tr w:rsidR="005C6636" w:rsidRPr="001B11AB" w14:paraId="2E96A0EC" w14:textId="77777777" w:rsidTr="00860B5A">
        <w:tc>
          <w:tcPr>
            <w:tcW w:w="9356" w:type="dxa"/>
            <w:shd w:val="clear" w:color="auto" w:fill="auto"/>
          </w:tcPr>
          <w:p w14:paraId="7FF9D613" w14:textId="7A3AFA2C"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sr-Cyrl-CS"/>
              </w:rPr>
              <w:t>[Банка наводи план прибављања капитала и анализу одржавања капитала за предвиђени период, по годинама. Бан</w:t>
            </w:r>
            <w:r w:rsidR="0041702C" w:rsidRPr="001B11AB">
              <w:rPr>
                <w:rFonts w:ascii="Times New Roman" w:hAnsi="Times New Roman" w:cs="Times New Roman"/>
                <w:i/>
                <w:sz w:val="20"/>
                <w:szCs w:val="20"/>
                <w:lang w:val="sr-Cyrl-CS"/>
              </w:rPr>
              <w:t>ка попуњава Табелу 4</w:t>
            </w:r>
            <w:r w:rsidR="00CC726D" w:rsidRPr="001B11AB">
              <w:rPr>
                <w:rFonts w:ascii="Times New Roman" w:hAnsi="Times New Roman" w:cs="Times New Roman"/>
                <w:i/>
                <w:sz w:val="20"/>
                <w:szCs w:val="20"/>
                <w:lang w:val="sr-Cyrl-CS"/>
              </w:rPr>
              <w:t>.</w:t>
            </w:r>
            <w:r w:rsidRPr="001B11AB">
              <w:rPr>
                <w:rFonts w:ascii="Times New Roman" w:hAnsi="Times New Roman" w:cs="Times New Roman"/>
                <w:i/>
                <w:sz w:val="20"/>
                <w:szCs w:val="20"/>
                <w:lang w:val="sr-Cyrl-CS"/>
              </w:rPr>
              <w:t>]</w:t>
            </w:r>
          </w:p>
        </w:tc>
      </w:tr>
      <w:tr w:rsidR="005C6636" w:rsidRPr="001B11AB" w14:paraId="259209D4" w14:textId="77777777" w:rsidTr="00E92210">
        <w:tc>
          <w:tcPr>
            <w:tcW w:w="9356" w:type="dxa"/>
            <w:shd w:val="clear" w:color="auto" w:fill="F2F2F2" w:themeFill="background1" w:themeFillShade="F2"/>
          </w:tcPr>
          <w:p w14:paraId="63A847B0" w14:textId="634EFD6C" w:rsidR="008C593A" w:rsidRPr="001B11AB" w:rsidRDefault="008C593A" w:rsidP="00897F23">
            <w:pPr>
              <w:pStyle w:val="Default"/>
              <w:spacing w:after="60"/>
              <w:jc w:val="both"/>
              <w:rPr>
                <w:rFonts w:ascii="Times New Roman" w:eastAsiaTheme="minorHAnsi" w:hAnsi="Times New Roman" w:cs="Times New Roman"/>
                <w:i/>
                <w:color w:val="auto"/>
                <w:sz w:val="20"/>
                <w:szCs w:val="20"/>
                <w:lang w:val="ru-RU" w:eastAsia="en-US"/>
              </w:rPr>
            </w:pPr>
            <w:r w:rsidRPr="001B11AB">
              <w:rPr>
                <w:rFonts w:ascii="Times New Roman" w:hAnsi="Times New Roman" w:cs="Times New Roman"/>
                <w:b/>
                <w:i/>
                <w:color w:val="auto"/>
                <w:sz w:val="20"/>
                <w:szCs w:val="20"/>
                <w:lang w:val="sr-Cyrl-CS"/>
              </w:rPr>
              <w:t>Напомена</w:t>
            </w:r>
            <w:r w:rsidRPr="001B11AB">
              <w:rPr>
                <w:rFonts w:ascii="Times New Roman" w:hAnsi="Times New Roman" w:cs="Times New Roman"/>
                <w:i/>
                <w:color w:val="auto"/>
                <w:sz w:val="20"/>
                <w:szCs w:val="20"/>
                <w:lang w:val="sr-Cyrl-CS"/>
              </w:rPr>
              <w:t xml:space="preserve">: </w:t>
            </w:r>
            <w:r w:rsidR="00CC726D" w:rsidRPr="001B11AB">
              <w:rPr>
                <w:rFonts w:ascii="Times New Roman" w:eastAsiaTheme="minorHAnsi" w:hAnsi="Times New Roman" w:cs="Times New Roman"/>
                <w:i/>
                <w:color w:val="auto"/>
                <w:sz w:val="20"/>
                <w:szCs w:val="20"/>
                <w:lang w:val="ru-RU" w:eastAsia="en-US"/>
              </w:rPr>
              <w:t>Б</w:t>
            </w:r>
            <w:r w:rsidRPr="001B11AB">
              <w:rPr>
                <w:rFonts w:ascii="Times New Roman" w:eastAsiaTheme="minorHAnsi" w:hAnsi="Times New Roman" w:cs="Times New Roman"/>
                <w:i/>
                <w:color w:val="auto"/>
                <w:sz w:val="20"/>
                <w:szCs w:val="20"/>
                <w:lang w:val="ru-RU" w:eastAsia="en-US"/>
              </w:rPr>
              <w:t xml:space="preserve">анка </w:t>
            </w:r>
            <w:r w:rsidR="0085602E" w:rsidRPr="001B11AB">
              <w:rPr>
                <w:rFonts w:ascii="Times New Roman" w:eastAsiaTheme="minorHAnsi" w:hAnsi="Times New Roman" w:cs="Times New Roman"/>
                <w:i/>
                <w:color w:val="auto"/>
                <w:sz w:val="20"/>
                <w:szCs w:val="20"/>
                <w:lang w:val="ru-RU" w:eastAsia="en-US"/>
              </w:rPr>
              <w:t xml:space="preserve">у овом </w:t>
            </w:r>
            <w:r w:rsidR="00A91766" w:rsidRPr="001B11AB">
              <w:rPr>
                <w:rFonts w:ascii="Times New Roman" w:eastAsiaTheme="minorHAnsi" w:hAnsi="Times New Roman" w:cs="Times New Roman"/>
                <w:i/>
                <w:color w:val="auto"/>
                <w:sz w:val="20"/>
                <w:szCs w:val="20"/>
                <w:lang w:val="ru-RU" w:eastAsia="en-US"/>
              </w:rPr>
              <w:t>дијелу</w:t>
            </w:r>
            <w:r w:rsidR="0085602E" w:rsidRPr="001B11AB">
              <w:rPr>
                <w:rFonts w:ascii="Times New Roman" w:eastAsiaTheme="minorHAnsi" w:hAnsi="Times New Roman" w:cs="Times New Roman"/>
                <w:i/>
                <w:color w:val="auto"/>
                <w:sz w:val="20"/>
                <w:szCs w:val="20"/>
                <w:lang w:val="ru-RU" w:eastAsia="en-US"/>
              </w:rPr>
              <w:t xml:space="preserve"> </w:t>
            </w:r>
            <w:r w:rsidRPr="001B11AB">
              <w:rPr>
                <w:rFonts w:ascii="Times New Roman" w:eastAsiaTheme="minorHAnsi" w:hAnsi="Times New Roman" w:cs="Times New Roman"/>
                <w:i/>
                <w:color w:val="auto"/>
                <w:sz w:val="20"/>
                <w:szCs w:val="20"/>
                <w:lang w:val="ru-RU" w:eastAsia="en-US"/>
              </w:rPr>
              <w:t xml:space="preserve">дефинише своја предвиђања и анализе у области планирања капитала. </w:t>
            </w:r>
          </w:p>
          <w:p w14:paraId="49D30F7E" w14:textId="28879568"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Банка наводи факторе које је узела у обзир приликом планирања свог циљаног нивоа и структуре капитала, као што су</w:t>
            </w:r>
            <w:r w:rsidR="00CC726D" w:rsidRPr="001B11AB">
              <w:rPr>
                <w:rFonts w:ascii="Times New Roman" w:eastAsiaTheme="minorHAnsi" w:hAnsi="Times New Roman" w:cs="Times New Roman"/>
                <w:i/>
                <w:sz w:val="20"/>
                <w:szCs w:val="20"/>
                <w:lang w:val="ru-RU"/>
              </w:rPr>
              <w:t>:</w:t>
            </w:r>
            <w:r w:rsidRPr="001B11AB">
              <w:rPr>
                <w:rFonts w:ascii="Times New Roman" w:eastAsiaTheme="minorHAnsi" w:hAnsi="Times New Roman" w:cs="Times New Roman"/>
                <w:i/>
                <w:sz w:val="20"/>
                <w:szCs w:val="20"/>
                <w:lang w:val="ru-RU"/>
              </w:rPr>
              <w:t xml:space="preserve"> стратешки план раста пословања, циљане стопе поврата на капитал, политик</w:t>
            </w:r>
            <w:r w:rsidR="0041702C" w:rsidRPr="001B11AB">
              <w:rPr>
                <w:rFonts w:ascii="Times New Roman" w:eastAsiaTheme="minorHAnsi" w:hAnsi="Times New Roman" w:cs="Times New Roman"/>
                <w:i/>
                <w:sz w:val="20"/>
                <w:szCs w:val="20"/>
                <w:lang w:val="ru-RU"/>
              </w:rPr>
              <w:t>а</w:t>
            </w:r>
            <w:r w:rsidRPr="001B11AB">
              <w:rPr>
                <w:rFonts w:ascii="Times New Roman" w:eastAsiaTheme="minorHAnsi" w:hAnsi="Times New Roman" w:cs="Times New Roman"/>
                <w:i/>
                <w:sz w:val="20"/>
                <w:szCs w:val="20"/>
                <w:lang w:val="ru-RU"/>
              </w:rPr>
              <w:t xml:space="preserve"> дивиденди, предвиђене промјене ризичног профила банке, резултат</w:t>
            </w:r>
            <w:r w:rsidR="0041702C" w:rsidRPr="001B11AB">
              <w:rPr>
                <w:rFonts w:ascii="Times New Roman" w:eastAsiaTheme="minorHAnsi" w:hAnsi="Times New Roman" w:cs="Times New Roman"/>
                <w:i/>
                <w:sz w:val="20"/>
                <w:szCs w:val="20"/>
                <w:lang w:val="ru-RU"/>
              </w:rPr>
              <w:t>и</w:t>
            </w:r>
            <w:r w:rsidRPr="001B11AB">
              <w:rPr>
                <w:rFonts w:ascii="Times New Roman" w:eastAsiaTheme="minorHAnsi" w:hAnsi="Times New Roman" w:cs="Times New Roman"/>
                <w:i/>
                <w:sz w:val="20"/>
                <w:szCs w:val="20"/>
                <w:lang w:val="ru-RU"/>
              </w:rPr>
              <w:t xml:space="preserve"> </w:t>
            </w:r>
            <w:r w:rsidRPr="001B11AB">
              <w:rPr>
                <w:rFonts w:ascii="Times New Roman" w:eastAsiaTheme="minorHAnsi" w:hAnsi="Times New Roman" w:cs="Times New Roman"/>
                <w:i/>
                <w:sz w:val="20"/>
                <w:szCs w:val="20"/>
              </w:rPr>
              <w:t>ICAAP</w:t>
            </w:r>
            <w:r w:rsidRPr="001B11AB">
              <w:rPr>
                <w:rFonts w:ascii="Times New Roman" w:eastAsiaTheme="minorHAnsi" w:hAnsi="Times New Roman" w:cs="Times New Roman"/>
                <w:i/>
                <w:sz w:val="20"/>
                <w:szCs w:val="20"/>
                <w:lang w:val="ru-RU"/>
              </w:rPr>
              <w:t>-а и друг</w:t>
            </w:r>
            <w:r w:rsidR="00CC726D" w:rsidRPr="001B11AB">
              <w:rPr>
                <w:rFonts w:ascii="Times New Roman" w:eastAsiaTheme="minorHAnsi" w:hAnsi="Times New Roman" w:cs="Times New Roman"/>
                <w:i/>
                <w:sz w:val="20"/>
                <w:szCs w:val="20"/>
                <w:lang w:val="ru-RU"/>
              </w:rPr>
              <w:t>и</w:t>
            </w:r>
            <w:r w:rsidRPr="001B11AB">
              <w:rPr>
                <w:rFonts w:ascii="Times New Roman" w:eastAsiaTheme="minorHAnsi" w:hAnsi="Times New Roman" w:cs="Times New Roman"/>
                <w:i/>
                <w:sz w:val="20"/>
                <w:szCs w:val="20"/>
                <w:lang w:val="ru-RU"/>
              </w:rPr>
              <w:t xml:space="preserve"> релевантн</w:t>
            </w:r>
            <w:r w:rsidR="00CC726D" w:rsidRPr="001B11AB">
              <w:rPr>
                <w:rFonts w:ascii="Times New Roman" w:eastAsiaTheme="minorHAnsi" w:hAnsi="Times New Roman" w:cs="Times New Roman"/>
                <w:i/>
                <w:sz w:val="20"/>
                <w:szCs w:val="20"/>
                <w:lang w:val="ru-RU"/>
              </w:rPr>
              <w:t>и</w:t>
            </w:r>
            <w:r w:rsidRPr="001B11AB">
              <w:rPr>
                <w:rFonts w:ascii="Times New Roman" w:eastAsiaTheme="minorHAnsi" w:hAnsi="Times New Roman" w:cs="Times New Roman"/>
                <w:i/>
                <w:sz w:val="20"/>
                <w:szCs w:val="20"/>
                <w:lang w:val="ru-RU"/>
              </w:rPr>
              <w:t xml:space="preserve"> фактор</w:t>
            </w:r>
            <w:r w:rsidR="00CC726D" w:rsidRPr="001B11AB">
              <w:rPr>
                <w:rFonts w:ascii="Times New Roman" w:eastAsiaTheme="minorHAnsi" w:hAnsi="Times New Roman" w:cs="Times New Roman"/>
                <w:i/>
                <w:sz w:val="20"/>
                <w:szCs w:val="20"/>
                <w:lang w:val="ru-RU"/>
              </w:rPr>
              <w:t>и</w:t>
            </w:r>
            <w:r w:rsidRPr="001B11AB">
              <w:rPr>
                <w:rFonts w:ascii="Times New Roman" w:eastAsiaTheme="minorHAnsi" w:hAnsi="Times New Roman" w:cs="Times New Roman"/>
                <w:i/>
                <w:sz w:val="20"/>
                <w:szCs w:val="20"/>
                <w:lang w:val="ru-RU"/>
              </w:rPr>
              <w:t xml:space="preserve"> за планирање капитала. </w:t>
            </w:r>
          </w:p>
          <w:p w14:paraId="41062579" w14:textId="40FB115E"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Банка у овом </w:t>
            </w:r>
            <w:r w:rsidR="000B5651" w:rsidRPr="001B11AB">
              <w:rPr>
                <w:rFonts w:ascii="Times New Roman" w:eastAsiaTheme="minorHAnsi" w:hAnsi="Times New Roman" w:cs="Times New Roman"/>
                <w:i/>
                <w:sz w:val="20"/>
                <w:szCs w:val="20"/>
                <w:lang w:val="ru-RU"/>
              </w:rPr>
              <w:t xml:space="preserve">дијелу </w:t>
            </w:r>
            <w:r w:rsidRPr="001B11AB">
              <w:rPr>
                <w:rFonts w:ascii="Times New Roman" w:eastAsiaTheme="minorHAnsi" w:hAnsi="Times New Roman" w:cs="Times New Roman"/>
                <w:i/>
                <w:sz w:val="20"/>
                <w:szCs w:val="20"/>
                <w:lang w:val="ru-RU"/>
              </w:rPr>
              <w:t xml:space="preserve">наводи </w:t>
            </w:r>
            <w:r w:rsidR="00CC726D" w:rsidRPr="001B11AB">
              <w:rPr>
                <w:rFonts w:ascii="Times New Roman" w:eastAsiaTheme="minorHAnsi" w:hAnsi="Times New Roman" w:cs="Times New Roman"/>
                <w:i/>
                <w:sz w:val="20"/>
                <w:szCs w:val="20"/>
                <w:lang w:val="ru-RU"/>
              </w:rPr>
              <w:t xml:space="preserve">и </w:t>
            </w:r>
            <w:r w:rsidRPr="001B11AB">
              <w:rPr>
                <w:rFonts w:ascii="Times New Roman" w:eastAsiaTheme="minorHAnsi" w:hAnsi="Times New Roman" w:cs="Times New Roman"/>
                <w:i/>
                <w:sz w:val="20"/>
                <w:szCs w:val="20"/>
                <w:lang w:val="ru-RU"/>
              </w:rPr>
              <w:t xml:space="preserve">најважније елементе планова за капитал, као што су: стратешки циљеви, поступци планирања капитала и одговорности за те поступке, начини на које планира испунити капиталне захтјеве у периоду на који се планирање капитала односи, релевантна ограничења везана за капитал, укључујући ефекат измјене прописа или доношења нових прописа, општи план поступања у непредвиђеним околностима (нпр. прибављање додатног капитала, ограничавање пословних активности, примјена техника смањења ризика или друге сличне мјере) и др. </w:t>
            </w:r>
          </w:p>
          <w:p w14:paraId="23D85E7D" w14:textId="77777777"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Банка анализира разлику између планираног циљаног капитала (расположивог капитала за покриће интерних капиталних захтјева) за годину за коју се сачињава извјештај и укупних интерних капиталних захтјева за исти извјештајни период. </w:t>
            </w:r>
          </w:p>
          <w:p w14:paraId="3EAD987C" w14:textId="77777777" w:rsidR="008C593A" w:rsidRPr="001B11AB" w:rsidRDefault="008C593A"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У овом </w:t>
            </w:r>
            <w:r w:rsidR="000B5651" w:rsidRPr="001B11AB">
              <w:rPr>
                <w:rFonts w:ascii="Times New Roman" w:eastAsiaTheme="minorHAnsi" w:hAnsi="Times New Roman" w:cs="Times New Roman"/>
                <w:i/>
                <w:sz w:val="20"/>
                <w:szCs w:val="20"/>
                <w:lang w:val="ru-RU"/>
              </w:rPr>
              <w:t xml:space="preserve">дијелу </w:t>
            </w:r>
            <w:r w:rsidRPr="001B11AB">
              <w:rPr>
                <w:rFonts w:ascii="Times New Roman" w:eastAsiaTheme="minorHAnsi" w:hAnsi="Times New Roman" w:cs="Times New Roman"/>
                <w:i/>
                <w:sz w:val="20"/>
                <w:szCs w:val="20"/>
                <w:lang w:val="ru-RU"/>
              </w:rPr>
              <w:t xml:space="preserve">банка такође мора: </w:t>
            </w:r>
          </w:p>
          <w:p w14:paraId="24BF93EE" w14:textId="72FCBE20" w:rsidR="008C593A" w:rsidRPr="001B11AB" w:rsidRDefault="008C593A" w:rsidP="00007D7A">
            <w:pPr>
              <w:pStyle w:val="ListParagraph"/>
              <w:numPr>
                <w:ilvl w:val="1"/>
                <w:numId w:val="36"/>
              </w:numPr>
              <w:autoSpaceDE w:val="0"/>
              <w:autoSpaceDN w:val="0"/>
              <w:adjustRightInd w:val="0"/>
              <w:spacing w:after="60"/>
              <w:ind w:left="342" w:hanging="200"/>
              <w:contextualSpacing w:val="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указати на период планирања капитала, који не смије бити краћи о</w:t>
            </w:r>
            <w:r w:rsidR="0085602E" w:rsidRPr="001B11AB">
              <w:rPr>
                <w:rFonts w:ascii="Times New Roman" w:eastAsiaTheme="minorHAnsi" w:hAnsi="Times New Roman" w:cs="Times New Roman"/>
                <w:i/>
                <w:sz w:val="20"/>
                <w:szCs w:val="20"/>
                <w:lang w:val="ru-RU"/>
              </w:rPr>
              <w:t xml:space="preserve">д три године (попунити </w:t>
            </w:r>
            <w:r w:rsidR="00CC726D" w:rsidRPr="001B11AB">
              <w:rPr>
                <w:rFonts w:ascii="Times New Roman" w:eastAsiaTheme="minorHAnsi" w:hAnsi="Times New Roman" w:cs="Times New Roman"/>
                <w:i/>
                <w:sz w:val="20"/>
                <w:szCs w:val="20"/>
                <w:lang w:val="ru-RU"/>
              </w:rPr>
              <w:t>Т</w:t>
            </w:r>
            <w:r w:rsidR="0085602E" w:rsidRPr="001B11AB">
              <w:rPr>
                <w:rFonts w:ascii="Times New Roman" w:eastAsiaTheme="minorHAnsi" w:hAnsi="Times New Roman" w:cs="Times New Roman"/>
                <w:i/>
                <w:sz w:val="20"/>
                <w:szCs w:val="20"/>
                <w:lang w:val="ru-RU"/>
              </w:rPr>
              <w:t>абелу 5</w:t>
            </w:r>
            <w:r w:rsidRPr="001B11AB">
              <w:rPr>
                <w:rFonts w:ascii="Times New Roman" w:eastAsiaTheme="minorHAnsi" w:hAnsi="Times New Roman" w:cs="Times New Roman"/>
                <w:i/>
                <w:sz w:val="20"/>
                <w:szCs w:val="20"/>
                <w:lang w:val="ru-RU"/>
              </w:rPr>
              <w:t xml:space="preserve">), </w:t>
            </w:r>
          </w:p>
          <w:p w14:paraId="649AE4DB" w14:textId="77777777" w:rsidR="008C593A" w:rsidRPr="001B11AB" w:rsidRDefault="008C593A" w:rsidP="00007D7A">
            <w:pPr>
              <w:pStyle w:val="ListParagraph"/>
              <w:numPr>
                <w:ilvl w:val="1"/>
                <w:numId w:val="36"/>
              </w:numPr>
              <w:autoSpaceDE w:val="0"/>
              <w:autoSpaceDN w:val="0"/>
              <w:adjustRightInd w:val="0"/>
              <w:spacing w:after="60"/>
              <w:ind w:left="342" w:hanging="200"/>
              <w:contextualSpacing w:val="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анализирати разлике између планираног регулаторног капитала за предметни период и регулаторног капитала оствареног у претходном периоду, </w:t>
            </w:r>
          </w:p>
          <w:p w14:paraId="254A85C5" w14:textId="77777777" w:rsidR="008C593A" w:rsidRPr="001B11AB" w:rsidRDefault="008C593A" w:rsidP="00007D7A">
            <w:pPr>
              <w:pStyle w:val="ListParagraph"/>
              <w:numPr>
                <w:ilvl w:val="1"/>
                <w:numId w:val="36"/>
              </w:numPr>
              <w:autoSpaceDE w:val="0"/>
              <w:autoSpaceDN w:val="0"/>
              <w:adjustRightInd w:val="0"/>
              <w:spacing w:after="60"/>
              <w:ind w:left="342" w:hanging="200"/>
              <w:contextualSpacing w:val="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објаснити методологију планирања капитала, узимајући у обзир реализације планова у претходним периодима, </w:t>
            </w:r>
          </w:p>
          <w:p w14:paraId="36FA92BC" w14:textId="77777777" w:rsidR="008C593A" w:rsidRPr="001B11AB" w:rsidRDefault="008C593A" w:rsidP="00007D7A">
            <w:pPr>
              <w:pStyle w:val="ListParagraph"/>
              <w:numPr>
                <w:ilvl w:val="1"/>
                <w:numId w:val="36"/>
              </w:numPr>
              <w:autoSpaceDE w:val="0"/>
              <w:autoSpaceDN w:val="0"/>
              <w:adjustRightInd w:val="0"/>
              <w:spacing w:after="60"/>
              <w:ind w:left="342" w:hanging="200"/>
              <w:contextualSpacing w:val="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објаснити резултате тестирања отпорности на стрес и њихов утицај на капитал, упућујући на одговарајуће интерне документе и </w:t>
            </w:r>
          </w:p>
          <w:p w14:paraId="45DC0AAB" w14:textId="05E0059E" w:rsidR="008C593A" w:rsidRPr="001B11AB" w:rsidRDefault="008C593A" w:rsidP="00007D7A">
            <w:pPr>
              <w:pStyle w:val="ListParagraph"/>
              <w:numPr>
                <w:ilvl w:val="1"/>
                <w:numId w:val="36"/>
              </w:numPr>
              <w:autoSpaceDE w:val="0"/>
              <w:autoSpaceDN w:val="0"/>
              <w:adjustRightInd w:val="0"/>
              <w:spacing w:after="60"/>
              <w:ind w:left="342" w:hanging="200"/>
              <w:contextualSpacing w:val="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навести алтернативне изворе капитала и друге релева</w:t>
            </w:r>
            <w:r w:rsidR="00CC726D" w:rsidRPr="001B11AB">
              <w:rPr>
                <w:rFonts w:ascii="Times New Roman" w:eastAsiaTheme="minorHAnsi" w:hAnsi="Times New Roman" w:cs="Times New Roman"/>
                <w:i/>
                <w:sz w:val="20"/>
                <w:szCs w:val="20"/>
                <w:lang w:val="ru-RU"/>
              </w:rPr>
              <w:t>н</w:t>
            </w:r>
            <w:r w:rsidRPr="001B11AB">
              <w:rPr>
                <w:rFonts w:ascii="Times New Roman" w:eastAsiaTheme="minorHAnsi" w:hAnsi="Times New Roman" w:cs="Times New Roman"/>
                <w:i/>
                <w:sz w:val="20"/>
                <w:szCs w:val="20"/>
                <w:lang w:val="ru-RU"/>
              </w:rPr>
              <w:t xml:space="preserve">тне елементе. </w:t>
            </w:r>
          </w:p>
        </w:tc>
      </w:tr>
    </w:tbl>
    <w:p w14:paraId="6E8FDD55" w14:textId="77777777" w:rsidR="00E740BB" w:rsidRPr="001B11AB" w:rsidRDefault="00E740BB" w:rsidP="00007D7A">
      <w:pPr>
        <w:spacing w:after="0" w:line="240" w:lineRule="auto"/>
        <w:jc w:val="both"/>
        <w:rPr>
          <w:rFonts w:ascii="Times New Roman" w:hAnsi="Times New Roman" w:cs="Times New Roman"/>
          <w:lang w:val="ru-RU"/>
        </w:rPr>
      </w:pPr>
    </w:p>
    <w:p w14:paraId="202B057C" w14:textId="4EF6DEF2" w:rsidR="00E740BB" w:rsidRPr="001B11AB" w:rsidRDefault="00E740BB" w:rsidP="00897F23">
      <w:pPr>
        <w:spacing w:line="240" w:lineRule="auto"/>
        <w:jc w:val="both"/>
        <w:rPr>
          <w:rFonts w:ascii="Times New Roman" w:hAnsi="Times New Roman" w:cs="Times New Roman"/>
        </w:rPr>
      </w:pPr>
      <w:r w:rsidRPr="001B11AB">
        <w:rPr>
          <w:rFonts w:ascii="Times New Roman" w:hAnsi="Times New Roman" w:cs="Times New Roman"/>
          <w:b/>
          <w:bCs/>
          <w:sz w:val="20"/>
          <w:szCs w:val="20"/>
        </w:rPr>
        <w:t>Табела 5</w:t>
      </w:r>
      <w:r w:rsidR="00672CC3" w:rsidRPr="001B11AB">
        <w:rPr>
          <w:rFonts w:ascii="Times New Roman" w:hAnsi="Times New Roman" w:cs="Times New Roman"/>
          <w:b/>
          <w:bCs/>
          <w:sz w:val="20"/>
          <w:szCs w:val="20"/>
          <w:lang w:val="sr-Cyrl-BA"/>
        </w:rPr>
        <w:t>.</w:t>
      </w:r>
      <w:r w:rsidRPr="001B11AB">
        <w:rPr>
          <w:rFonts w:ascii="Times New Roman" w:hAnsi="Times New Roman" w:cs="Times New Roman"/>
          <w:b/>
          <w:bCs/>
          <w:sz w:val="20"/>
          <w:szCs w:val="20"/>
        </w:rPr>
        <w:t xml:space="preserve"> Планирање капитала банке</w:t>
      </w:r>
    </w:p>
    <w:tbl>
      <w:tblPr>
        <w:tblStyle w:val="TableGrid"/>
        <w:tblW w:w="0" w:type="auto"/>
        <w:tblInd w:w="108" w:type="dxa"/>
        <w:tblLook w:val="04A0" w:firstRow="1" w:lastRow="0" w:firstColumn="1" w:lastColumn="0" w:noHBand="0" w:noVBand="1"/>
      </w:tblPr>
      <w:tblGrid>
        <w:gridCol w:w="3573"/>
        <w:gridCol w:w="1984"/>
        <w:gridCol w:w="1843"/>
        <w:gridCol w:w="1814"/>
      </w:tblGrid>
      <w:tr w:rsidR="005C6636" w:rsidRPr="001B11AB" w14:paraId="5B94651B" w14:textId="77777777" w:rsidTr="002C5FE4">
        <w:tc>
          <w:tcPr>
            <w:tcW w:w="9214" w:type="dxa"/>
            <w:gridSpan w:val="4"/>
            <w:shd w:val="clear" w:color="auto" w:fill="F2F2F2" w:themeFill="background1" w:themeFillShade="F2"/>
          </w:tcPr>
          <w:p w14:paraId="2D7E2669" w14:textId="77777777" w:rsidR="00E740BB" w:rsidRPr="001B11AB" w:rsidRDefault="00E740BB" w:rsidP="00897F23">
            <w:pPr>
              <w:jc w:val="both"/>
              <w:rPr>
                <w:rFonts w:ascii="Times New Roman" w:hAnsi="Times New Roman" w:cs="Times New Roman"/>
                <w:sz w:val="18"/>
                <w:szCs w:val="18"/>
              </w:rPr>
            </w:pPr>
            <w:r w:rsidRPr="001B11AB">
              <w:rPr>
                <w:rFonts w:ascii="Times New Roman" w:hAnsi="Times New Roman" w:cs="Times New Roman"/>
                <w:b/>
                <w:bCs/>
                <w:sz w:val="18"/>
                <w:szCs w:val="18"/>
              </w:rPr>
              <w:t>ПЛАНИРАЊЕ КАПИТАЛА</w:t>
            </w:r>
          </w:p>
        </w:tc>
      </w:tr>
      <w:tr w:rsidR="005C6636" w:rsidRPr="001B11AB" w14:paraId="4E6F810C" w14:textId="77777777" w:rsidTr="006E1D78">
        <w:tc>
          <w:tcPr>
            <w:tcW w:w="3573" w:type="dxa"/>
            <w:tcBorders>
              <w:bottom w:val="single" w:sz="4" w:space="0" w:color="auto"/>
            </w:tcBorders>
            <w:shd w:val="clear" w:color="auto" w:fill="F2F2F2" w:themeFill="background1" w:themeFillShade="F2"/>
          </w:tcPr>
          <w:p w14:paraId="66F7AA47" w14:textId="77777777" w:rsidR="00E740BB" w:rsidRPr="001B11AB" w:rsidRDefault="00E740BB" w:rsidP="00897F23">
            <w:pPr>
              <w:jc w:val="both"/>
              <w:rPr>
                <w:rFonts w:ascii="Times New Roman" w:hAnsi="Times New Roman" w:cs="Times New Roman"/>
                <w:sz w:val="18"/>
                <w:szCs w:val="18"/>
                <w:lang w:val="hr-HR"/>
              </w:rPr>
            </w:pPr>
          </w:p>
        </w:tc>
        <w:tc>
          <w:tcPr>
            <w:tcW w:w="1984" w:type="dxa"/>
            <w:shd w:val="clear" w:color="auto" w:fill="F2F2F2" w:themeFill="background1" w:themeFillShade="F2"/>
            <w:vAlign w:val="center"/>
          </w:tcPr>
          <w:p w14:paraId="464C4E18" w14:textId="77777777" w:rsidR="00E740BB" w:rsidRPr="001B11AB" w:rsidRDefault="00E740BB" w:rsidP="00897F23">
            <w:pPr>
              <w:jc w:val="center"/>
              <w:rPr>
                <w:rFonts w:ascii="Times New Roman" w:hAnsi="Times New Roman" w:cs="Times New Roman"/>
                <w:b/>
                <w:bCs/>
                <w:sz w:val="18"/>
                <w:szCs w:val="18"/>
              </w:rPr>
            </w:pPr>
            <w:r w:rsidRPr="001B11AB">
              <w:rPr>
                <w:rFonts w:ascii="Times New Roman" w:hAnsi="Times New Roman" w:cs="Times New Roman"/>
                <w:b/>
                <w:bCs/>
                <w:sz w:val="18"/>
                <w:szCs w:val="18"/>
              </w:rPr>
              <w:t>Текућа година + 1</w:t>
            </w:r>
          </w:p>
        </w:tc>
        <w:tc>
          <w:tcPr>
            <w:tcW w:w="1843" w:type="dxa"/>
            <w:shd w:val="clear" w:color="auto" w:fill="F2F2F2" w:themeFill="background1" w:themeFillShade="F2"/>
            <w:vAlign w:val="center"/>
          </w:tcPr>
          <w:p w14:paraId="785CC28F" w14:textId="77777777" w:rsidR="00E740BB" w:rsidRPr="001B11AB" w:rsidRDefault="00E740BB" w:rsidP="00897F23">
            <w:pPr>
              <w:jc w:val="center"/>
              <w:rPr>
                <w:rFonts w:ascii="Times New Roman" w:hAnsi="Times New Roman" w:cs="Times New Roman"/>
                <w:b/>
                <w:bCs/>
                <w:sz w:val="18"/>
                <w:szCs w:val="18"/>
              </w:rPr>
            </w:pPr>
            <w:r w:rsidRPr="001B11AB">
              <w:rPr>
                <w:rFonts w:ascii="Times New Roman" w:hAnsi="Times New Roman" w:cs="Times New Roman"/>
                <w:b/>
                <w:bCs/>
                <w:sz w:val="18"/>
                <w:szCs w:val="18"/>
              </w:rPr>
              <w:t>Текућа година + 2</w:t>
            </w:r>
          </w:p>
        </w:tc>
        <w:tc>
          <w:tcPr>
            <w:tcW w:w="1814" w:type="dxa"/>
            <w:shd w:val="clear" w:color="auto" w:fill="F2F2F2" w:themeFill="background1" w:themeFillShade="F2"/>
            <w:vAlign w:val="center"/>
          </w:tcPr>
          <w:p w14:paraId="19A0F1F8" w14:textId="77777777" w:rsidR="00E740BB" w:rsidRPr="001B11AB" w:rsidRDefault="00E740BB" w:rsidP="00897F23">
            <w:pPr>
              <w:jc w:val="center"/>
              <w:rPr>
                <w:rFonts w:ascii="Times New Roman" w:hAnsi="Times New Roman" w:cs="Times New Roman"/>
                <w:b/>
                <w:bCs/>
                <w:sz w:val="18"/>
                <w:szCs w:val="18"/>
              </w:rPr>
            </w:pPr>
            <w:r w:rsidRPr="001B11AB">
              <w:rPr>
                <w:rFonts w:ascii="Times New Roman" w:hAnsi="Times New Roman" w:cs="Times New Roman"/>
                <w:b/>
                <w:bCs/>
                <w:sz w:val="18"/>
                <w:szCs w:val="18"/>
              </w:rPr>
              <w:t>Текућа година + 3</w:t>
            </w:r>
          </w:p>
        </w:tc>
      </w:tr>
      <w:tr w:rsidR="005C6636" w:rsidRPr="001B11AB" w14:paraId="25D73E2E" w14:textId="77777777" w:rsidTr="006E1D78">
        <w:tc>
          <w:tcPr>
            <w:tcW w:w="3573" w:type="dxa"/>
            <w:shd w:val="clear" w:color="auto" w:fill="F2F2F2" w:themeFill="background1" w:themeFillShade="F2"/>
          </w:tcPr>
          <w:p w14:paraId="26B68DEA" w14:textId="77777777" w:rsidR="00E740BB" w:rsidRPr="001B11AB" w:rsidRDefault="00E740BB" w:rsidP="00897F23">
            <w:pPr>
              <w:rPr>
                <w:rFonts w:ascii="Times New Roman" w:hAnsi="Times New Roman" w:cs="Times New Roman"/>
                <w:sz w:val="18"/>
                <w:szCs w:val="18"/>
              </w:rPr>
            </w:pPr>
            <w:r w:rsidRPr="001B11AB">
              <w:rPr>
                <w:rFonts w:ascii="Times New Roman" w:hAnsi="Times New Roman" w:cs="Times New Roman"/>
                <w:b/>
                <w:bCs/>
                <w:sz w:val="18"/>
                <w:szCs w:val="18"/>
              </w:rPr>
              <w:t>Планирана стопа регулаторног капитала</w:t>
            </w:r>
          </w:p>
        </w:tc>
        <w:tc>
          <w:tcPr>
            <w:tcW w:w="1984" w:type="dxa"/>
          </w:tcPr>
          <w:p w14:paraId="446F1AB5" w14:textId="77777777" w:rsidR="00E740BB" w:rsidRPr="001B11AB" w:rsidRDefault="00E740BB" w:rsidP="00897F23">
            <w:pPr>
              <w:jc w:val="both"/>
              <w:rPr>
                <w:rFonts w:ascii="Times New Roman" w:hAnsi="Times New Roman" w:cs="Times New Roman"/>
                <w:sz w:val="18"/>
                <w:szCs w:val="18"/>
                <w:lang w:val="hr-HR"/>
              </w:rPr>
            </w:pPr>
          </w:p>
        </w:tc>
        <w:tc>
          <w:tcPr>
            <w:tcW w:w="1843" w:type="dxa"/>
          </w:tcPr>
          <w:p w14:paraId="75605D47" w14:textId="77777777" w:rsidR="00E740BB" w:rsidRPr="001B11AB" w:rsidRDefault="00E740BB" w:rsidP="00897F23">
            <w:pPr>
              <w:jc w:val="both"/>
              <w:rPr>
                <w:rFonts w:ascii="Times New Roman" w:hAnsi="Times New Roman" w:cs="Times New Roman"/>
                <w:sz w:val="18"/>
                <w:szCs w:val="18"/>
                <w:lang w:val="hr-HR"/>
              </w:rPr>
            </w:pPr>
          </w:p>
        </w:tc>
        <w:tc>
          <w:tcPr>
            <w:tcW w:w="1814" w:type="dxa"/>
          </w:tcPr>
          <w:p w14:paraId="0CE77098" w14:textId="77777777" w:rsidR="00E740BB" w:rsidRPr="001B11AB" w:rsidRDefault="00E740BB" w:rsidP="00897F23">
            <w:pPr>
              <w:jc w:val="both"/>
              <w:rPr>
                <w:rFonts w:ascii="Times New Roman" w:hAnsi="Times New Roman" w:cs="Times New Roman"/>
                <w:sz w:val="18"/>
                <w:szCs w:val="18"/>
                <w:lang w:val="hr-HR"/>
              </w:rPr>
            </w:pPr>
          </w:p>
        </w:tc>
      </w:tr>
      <w:tr w:rsidR="005C6636" w:rsidRPr="001B11AB" w14:paraId="27C12778" w14:textId="77777777" w:rsidTr="006E1D78">
        <w:tc>
          <w:tcPr>
            <w:tcW w:w="3573" w:type="dxa"/>
            <w:shd w:val="clear" w:color="auto" w:fill="F2F2F2" w:themeFill="background1" w:themeFillShade="F2"/>
          </w:tcPr>
          <w:p w14:paraId="4D791EB6" w14:textId="77777777" w:rsidR="00E740BB" w:rsidRPr="001B11AB" w:rsidRDefault="00E740BB" w:rsidP="00897F23">
            <w:pPr>
              <w:rPr>
                <w:rFonts w:ascii="Times New Roman" w:hAnsi="Times New Roman" w:cs="Times New Roman"/>
                <w:sz w:val="18"/>
                <w:szCs w:val="18"/>
              </w:rPr>
            </w:pPr>
            <w:r w:rsidRPr="001B11AB">
              <w:rPr>
                <w:rFonts w:ascii="Times New Roman" w:hAnsi="Times New Roman" w:cs="Times New Roman"/>
                <w:b/>
                <w:bCs/>
                <w:sz w:val="18"/>
                <w:szCs w:val="18"/>
              </w:rPr>
              <w:t>Планирани регулаторни капитал</w:t>
            </w:r>
          </w:p>
        </w:tc>
        <w:tc>
          <w:tcPr>
            <w:tcW w:w="1984" w:type="dxa"/>
          </w:tcPr>
          <w:p w14:paraId="3A9C0834" w14:textId="77777777" w:rsidR="00E740BB" w:rsidRPr="001B11AB" w:rsidRDefault="00E740BB" w:rsidP="00897F23">
            <w:pPr>
              <w:jc w:val="both"/>
              <w:rPr>
                <w:rFonts w:ascii="Times New Roman" w:hAnsi="Times New Roman" w:cs="Times New Roman"/>
                <w:sz w:val="18"/>
                <w:szCs w:val="18"/>
                <w:lang w:val="hr-HR"/>
              </w:rPr>
            </w:pPr>
          </w:p>
        </w:tc>
        <w:tc>
          <w:tcPr>
            <w:tcW w:w="1843" w:type="dxa"/>
          </w:tcPr>
          <w:p w14:paraId="0EF395CD" w14:textId="77777777" w:rsidR="00E740BB" w:rsidRPr="001B11AB" w:rsidRDefault="00E740BB" w:rsidP="00897F23">
            <w:pPr>
              <w:jc w:val="both"/>
              <w:rPr>
                <w:rFonts w:ascii="Times New Roman" w:hAnsi="Times New Roman" w:cs="Times New Roman"/>
                <w:sz w:val="18"/>
                <w:szCs w:val="18"/>
                <w:lang w:val="hr-HR"/>
              </w:rPr>
            </w:pPr>
          </w:p>
        </w:tc>
        <w:tc>
          <w:tcPr>
            <w:tcW w:w="1814" w:type="dxa"/>
          </w:tcPr>
          <w:p w14:paraId="31C683F5" w14:textId="77777777" w:rsidR="00E740BB" w:rsidRPr="001B11AB" w:rsidRDefault="00E740BB" w:rsidP="00897F23">
            <w:pPr>
              <w:jc w:val="both"/>
              <w:rPr>
                <w:rFonts w:ascii="Times New Roman" w:hAnsi="Times New Roman" w:cs="Times New Roman"/>
                <w:sz w:val="18"/>
                <w:szCs w:val="18"/>
                <w:lang w:val="hr-HR"/>
              </w:rPr>
            </w:pPr>
          </w:p>
        </w:tc>
      </w:tr>
      <w:tr w:rsidR="005C6636" w:rsidRPr="001B11AB" w14:paraId="07440951" w14:textId="77777777" w:rsidTr="006E1D78">
        <w:tc>
          <w:tcPr>
            <w:tcW w:w="3573" w:type="dxa"/>
            <w:shd w:val="clear" w:color="auto" w:fill="F2F2F2" w:themeFill="background1" w:themeFillShade="F2"/>
          </w:tcPr>
          <w:p w14:paraId="3813FBCA" w14:textId="77777777" w:rsidR="00E740BB" w:rsidRPr="001B11AB" w:rsidRDefault="00E740BB" w:rsidP="00897F23">
            <w:pPr>
              <w:rPr>
                <w:rFonts w:ascii="Times New Roman" w:hAnsi="Times New Roman" w:cs="Times New Roman"/>
                <w:sz w:val="18"/>
                <w:szCs w:val="18"/>
                <w:lang w:val="ru-RU"/>
              </w:rPr>
            </w:pPr>
            <w:r w:rsidRPr="001B11AB">
              <w:rPr>
                <w:rFonts w:ascii="Times New Roman" w:hAnsi="Times New Roman" w:cs="Times New Roman"/>
                <w:b/>
                <w:bCs/>
                <w:sz w:val="18"/>
                <w:szCs w:val="18"/>
                <w:lang w:val="ru-RU"/>
              </w:rPr>
              <w:t xml:space="preserve">Планирани расположиви капитал </w:t>
            </w:r>
          </w:p>
        </w:tc>
        <w:tc>
          <w:tcPr>
            <w:tcW w:w="1984" w:type="dxa"/>
          </w:tcPr>
          <w:p w14:paraId="71AF3C03" w14:textId="77777777" w:rsidR="00E740BB" w:rsidRPr="001B11AB" w:rsidRDefault="00E740BB" w:rsidP="00897F23">
            <w:pPr>
              <w:jc w:val="both"/>
              <w:rPr>
                <w:rFonts w:ascii="Times New Roman" w:hAnsi="Times New Roman" w:cs="Times New Roman"/>
                <w:sz w:val="18"/>
                <w:szCs w:val="18"/>
                <w:lang w:val="hr-HR"/>
              </w:rPr>
            </w:pPr>
          </w:p>
        </w:tc>
        <w:tc>
          <w:tcPr>
            <w:tcW w:w="1843" w:type="dxa"/>
          </w:tcPr>
          <w:p w14:paraId="6A9E31CE" w14:textId="77777777" w:rsidR="00E740BB" w:rsidRPr="001B11AB" w:rsidRDefault="00E740BB" w:rsidP="00897F23">
            <w:pPr>
              <w:jc w:val="both"/>
              <w:rPr>
                <w:rFonts w:ascii="Times New Roman" w:hAnsi="Times New Roman" w:cs="Times New Roman"/>
                <w:sz w:val="18"/>
                <w:szCs w:val="18"/>
                <w:lang w:val="hr-HR"/>
              </w:rPr>
            </w:pPr>
          </w:p>
        </w:tc>
        <w:tc>
          <w:tcPr>
            <w:tcW w:w="1814" w:type="dxa"/>
          </w:tcPr>
          <w:p w14:paraId="51E98945" w14:textId="77777777" w:rsidR="00E740BB" w:rsidRPr="001B11AB" w:rsidRDefault="00E740BB" w:rsidP="00897F23">
            <w:pPr>
              <w:jc w:val="both"/>
              <w:rPr>
                <w:rFonts w:ascii="Times New Roman" w:hAnsi="Times New Roman" w:cs="Times New Roman"/>
                <w:sz w:val="18"/>
                <w:szCs w:val="18"/>
                <w:lang w:val="hr-HR"/>
              </w:rPr>
            </w:pPr>
          </w:p>
        </w:tc>
      </w:tr>
      <w:tr w:rsidR="005C6636" w:rsidRPr="001B11AB" w14:paraId="4B02ADB4" w14:textId="77777777" w:rsidTr="006E1D78">
        <w:tc>
          <w:tcPr>
            <w:tcW w:w="3573" w:type="dxa"/>
            <w:shd w:val="clear" w:color="auto" w:fill="F2F2F2" w:themeFill="background1" w:themeFillShade="F2"/>
          </w:tcPr>
          <w:p w14:paraId="58261575" w14:textId="77777777" w:rsidR="00E740BB" w:rsidRPr="001B11AB" w:rsidRDefault="00E740BB" w:rsidP="00897F23">
            <w:pPr>
              <w:rPr>
                <w:rFonts w:ascii="Times New Roman" w:hAnsi="Times New Roman" w:cs="Times New Roman"/>
                <w:b/>
                <w:bCs/>
                <w:sz w:val="18"/>
                <w:szCs w:val="18"/>
                <w:lang w:val="ru-RU"/>
              </w:rPr>
            </w:pPr>
            <w:r w:rsidRPr="001B11AB">
              <w:rPr>
                <w:rFonts w:ascii="Times New Roman" w:hAnsi="Times New Roman" w:cs="Times New Roman"/>
                <w:b/>
                <w:bCs/>
                <w:sz w:val="18"/>
                <w:szCs w:val="18"/>
                <w:lang w:val="ru-RU"/>
              </w:rPr>
              <w:t>Планирани укупни интерни капитални захтјеви</w:t>
            </w:r>
          </w:p>
        </w:tc>
        <w:tc>
          <w:tcPr>
            <w:tcW w:w="1984" w:type="dxa"/>
          </w:tcPr>
          <w:p w14:paraId="481209B6" w14:textId="77777777" w:rsidR="00E740BB" w:rsidRPr="001B11AB" w:rsidRDefault="00E740BB" w:rsidP="00897F23">
            <w:pPr>
              <w:jc w:val="both"/>
              <w:rPr>
                <w:rFonts w:ascii="Times New Roman" w:hAnsi="Times New Roman" w:cs="Times New Roman"/>
                <w:sz w:val="18"/>
                <w:szCs w:val="18"/>
                <w:lang w:val="hr-HR"/>
              </w:rPr>
            </w:pPr>
          </w:p>
        </w:tc>
        <w:tc>
          <w:tcPr>
            <w:tcW w:w="1843" w:type="dxa"/>
          </w:tcPr>
          <w:p w14:paraId="770B6DA5" w14:textId="77777777" w:rsidR="00E740BB" w:rsidRPr="001B11AB" w:rsidRDefault="00E740BB" w:rsidP="00897F23">
            <w:pPr>
              <w:jc w:val="both"/>
              <w:rPr>
                <w:rFonts w:ascii="Times New Roman" w:hAnsi="Times New Roman" w:cs="Times New Roman"/>
                <w:sz w:val="18"/>
                <w:szCs w:val="18"/>
                <w:lang w:val="hr-HR"/>
              </w:rPr>
            </w:pPr>
          </w:p>
        </w:tc>
        <w:tc>
          <w:tcPr>
            <w:tcW w:w="1814" w:type="dxa"/>
          </w:tcPr>
          <w:p w14:paraId="0C7A4DAD" w14:textId="77777777" w:rsidR="00E740BB" w:rsidRPr="001B11AB" w:rsidRDefault="00E740BB" w:rsidP="00897F23">
            <w:pPr>
              <w:jc w:val="both"/>
              <w:rPr>
                <w:rFonts w:ascii="Times New Roman" w:hAnsi="Times New Roman" w:cs="Times New Roman"/>
                <w:sz w:val="18"/>
                <w:szCs w:val="18"/>
                <w:lang w:val="hr-HR"/>
              </w:rPr>
            </w:pPr>
          </w:p>
        </w:tc>
      </w:tr>
    </w:tbl>
    <w:p w14:paraId="19814960" w14:textId="77777777" w:rsidR="00093B08" w:rsidRPr="001B11AB" w:rsidRDefault="00093B08" w:rsidP="003D782E">
      <w:pPr>
        <w:spacing w:after="0" w:line="240" w:lineRule="auto"/>
        <w:jc w:val="both"/>
        <w:rPr>
          <w:rFonts w:ascii="Times New Roman" w:hAnsi="Times New Roman" w:cs="Times New Roman"/>
          <w:sz w:val="20"/>
          <w:szCs w:val="20"/>
          <w:lang w:val="ru-RU"/>
        </w:rPr>
      </w:pPr>
    </w:p>
    <w:p w14:paraId="0FE8B4D4" w14:textId="77777777" w:rsidR="00093B08" w:rsidRPr="001B11AB" w:rsidRDefault="00093B08" w:rsidP="003D782E">
      <w:pPr>
        <w:spacing w:after="0" w:line="240" w:lineRule="auto"/>
        <w:jc w:val="both"/>
        <w:rPr>
          <w:rFonts w:ascii="Times New Roman" w:hAnsi="Times New Roman" w:cs="Times New Roman"/>
          <w:sz w:val="20"/>
          <w:szCs w:val="20"/>
          <w:lang w:val="ru-RU"/>
        </w:rPr>
      </w:pPr>
    </w:p>
    <w:p w14:paraId="6D6DF165" w14:textId="484157EB" w:rsidR="00E740BB" w:rsidRPr="001B11AB" w:rsidRDefault="00E740BB" w:rsidP="001B11AB">
      <w:pPr>
        <w:pStyle w:val="Heading2"/>
        <w:numPr>
          <w:ilvl w:val="0"/>
          <w:numId w:val="27"/>
        </w:numPr>
        <w:spacing w:before="0" w:line="240" w:lineRule="auto"/>
        <w:ind w:left="709"/>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t>ПЛАН</w:t>
      </w:r>
      <w:r w:rsidR="006816EB" w:rsidRPr="001B11AB">
        <w:rPr>
          <w:rFonts w:ascii="Times New Roman" w:hAnsi="Times New Roman" w:cs="Times New Roman"/>
          <w:color w:val="auto"/>
          <w:sz w:val="22"/>
          <w:szCs w:val="22"/>
          <w:lang w:val="ru-RU"/>
        </w:rPr>
        <w:t xml:space="preserve"> </w:t>
      </w:r>
      <w:r w:rsidRPr="001B11AB">
        <w:rPr>
          <w:rFonts w:ascii="Times New Roman" w:hAnsi="Times New Roman" w:cs="Times New Roman"/>
          <w:color w:val="auto"/>
          <w:sz w:val="22"/>
          <w:szCs w:val="22"/>
          <w:lang w:val="ru-RU"/>
        </w:rPr>
        <w:t>МЈЕРА ЗА ПОБОЉШАЊЕ ICAAP-a</w:t>
      </w:r>
    </w:p>
    <w:p w14:paraId="39917B05" w14:textId="77777777" w:rsidR="003D782E" w:rsidRPr="001B11AB" w:rsidRDefault="003D782E" w:rsidP="003D782E">
      <w:pPr>
        <w:spacing w:after="0" w:line="240" w:lineRule="auto"/>
        <w:rPr>
          <w:lang w:val="ru-RU"/>
        </w:rPr>
      </w:pPr>
    </w:p>
    <w:tbl>
      <w:tblPr>
        <w:tblStyle w:val="TableGrid"/>
        <w:tblW w:w="9214" w:type="dxa"/>
        <w:tblInd w:w="108" w:type="dxa"/>
        <w:tblLook w:val="04A0" w:firstRow="1" w:lastRow="0" w:firstColumn="1" w:lastColumn="0" w:noHBand="0" w:noVBand="1"/>
      </w:tblPr>
      <w:tblGrid>
        <w:gridCol w:w="9214"/>
      </w:tblGrid>
      <w:tr w:rsidR="005C6636" w:rsidRPr="001B11AB" w14:paraId="039F1961" w14:textId="77777777" w:rsidTr="002C5FE4">
        <w:tc>
          <w:tcPr>
            <w:tcW w:w="9214" w:type="dxa"/>
            <w:tcBorders>
              <w:bottom w:val="single" w:sz="4" w:space="0" w:color="auto"/>
            </w:tcBorders>
            <w:shd w:val="clear" w:color="auto" w:fill="F2F2F2" w:themeFill="background1" w:themeFillShade="F2"/>
          </w:tcPr>
          <w:p w14:paraId="2DD29B5D" w14:textId="77777777" w:rsidR="00E740BB" w:rsidRPr="001B11AB" w:rsidRDefault="00E740BB" w:rsidP="00897F23">
            <w:pPr>
              <w:spacing w:after="60"/>
              <w:jc w:val="both"/>
              <w:rPr>
                <w:rFonts w:ascii="Times New Roman" w:hAnsi="Times New Roman" w:cs="Times New Roman"/>
                <w:b/>
                <w:sz w:val="20"/>
                <w:szCs w:val="20"/>
                <w:lang w:val="hr-HR"/>
              </w:rPr>
            </w:pPr>
            <w:r w:rsidRPr="001B11AB">
              <w:rPr>
                <w:rFonts w:ascii="Times New Roman" w:hAnsi="Times New Roman" w:cs="Times New Roman"/>
                <w:b/>
                <w:sz w:val="20"/>
                <w:szCs w:val="20"/>
                <w:lang w:val="ru-RU"/>
              </w:rPr>
              <w:t xml:space="preserve">8.1. План мјера за побољшање </w:t>
            </w:r>
            <w:r w:rsidRPr="001B11AB">
              <w:rPr>
                <w:rFonts w:ascii="Times New Roman" w:hAnsi="Times New Roman" w:cs="Times New Roman"/>
                <w:b/>
                <w:sz w:val="20"/>
                <w:szCs w:val="20"/>
                <w:lang w:val="hr-HR"/>
              </w:rPr>
              <w:t>ICAAP-a</w:t>
            </w:r>
          </w:p>
        </w:tc>
      </w:tr>
      <w:tr w:rsidR="005C6636" w:rsidRPr="001B11AB" w14:paraId="710D2567" w14:textId="77777777" w:rsidTr="006F4726">
        <w:tc>
          <w:tcPr>
            <w:tcW w:w="9214" w:type="dxa"/>
            <w:shd w:val="clear" w:color="auto" w:fill="auto"/>
          </w:tcPr>
          <w:p w14:paraId="099D4282"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sz w:val="16"/>
                <w:szCs w:val="16"/>
                <w:lang w:val="ru-RU"/>
              </w:rPr>
            </w:pPr>
            <w:r w:rsidRPr="001B11AB">
              <w:rPr>
                <w:rFonts w:ascii="Times New Roman" w:hAnsi="Times New Roman" w:cs="Times New Roman"/>
                <w:i/>
                <w:sz w:val="20"/>
                <w:szCs w:val="20"/>
                <w:lang w:val="sr-Cyrl-CS"/>
              </w:rPr>
              <w:t>[Банка наводи објашњење главних слабости и недостатака ICAAP-а које је уочила.]</w:t>
            </w:r>
            <w:r w:rsidR="0059493D" w:rsidRPr="001B11AB">
              <w:rPr>
                <w:rFonts w:ascii="Times New Roman" w:hAnsi="Times New Roman" w:cs="Times New Roman"/>
                <w:sz w:val="18"/>
                <w:szCs w:val="18"/>
                <w:lang w:val="ru-RU"/>
              </w:rPr>
              <w:t xml:space="preserve"> </w:t>
            </w:r>
          </w:p>
        </w:tc>
      </w:tr>
      <w:tr w:rsidR="005C6636" w:rsidRPr="001B11AB" w14:paraId="3E68332A" w14:textId="77777777" w:rsidTr="006F4726">
        <w:tc>
          <w:tcPr>
            <w:tcW w:w="9214" w:type="dxa"/>
            <w:shd w:val="clear" w:color="auto" w:fill="auto"/>
          </w:tcPr>
          <w:p w14:paraId="2060D8C1"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sr-Cyrl-CS"/>
              </w:rPr>
              <w:t>[Уколико је потребно, упутити на интерне акте који се односе на план активности за прилагођавање и побољшање ICAAP-а .]</w:t>
            </w:r>
          </w:p>
        </w:tc>
      </w:tr>
      <w:tr w:rsidR="005C6636" w:rsidRPr="001B11AB" w14:paraId="40DAC532" w14:textId="77777777" w:rsidTr="006F4726">
        <w:tc>
          <w:tcPr>
            <w:tcW w:w="9214" w:type="dxa"/>
            <w:shd w:val="clear" w:color="auto" w:fill="auto"/>
          </w:tcPr>
          <w:p w14:paraId="3E7F9DF0" w14:textId="77777777" w:rsidR="00E740BB" w:rsidRPr="001B11AB" w:rsidRDefault="00E740BB" w:rsidP="00897F23">
            <w:pPr>
              <w:spacing w:after="60"/>
              <w:jc w:val="both"/>
              <w:rPr>
                <w:rFonts w:ascii="Times New Roman" w:hAnsi="Times New Roman" w:cs="Times New Roman"/>
                <w:sz w:val="18"/>
                <w:szCs w:val="18"/>
                <w:lang w:val="ru-RU"/>
              </w:rPr>
            </w:pPr>
            <w:r w:rsidRPr="001B11AB">
              <w:rPr>
                <w:rFonts w:ascii="Times New Roman" w:hAnsi="Times New Roman" w:cs="Times New Roman"/>
                <w:i/>
                <w:sz w:val="20"/>
                <w:szCs w:val="20"/>
                <w:lang w:val="sr-Cyrl-CS"/>
              </w:rPr>
              <w:t>[Банка наводи списак планираних промјена у стратегији управљања ризицима.]</w:t>
            </w:r>
          </w:p>
        </w:tc>
      </w:tr>
      <w:tr w:rsidR="005C6636" w:rsidRPr="001B11AB" w14:paraId="78CA497E" w14:textId="77777777" w:rsidTr="008A08D3">
        <w:tc>
          <w:tcPr>
            <w:tcW w:w="9214" w:type="dxa"/>
            <w:shd w:val="clear" w:color="auto" w:fill="F2F2F2" w:themeFill="background1" w:themeFillShade="F2"/>
          </w:tcPr>
          <w:p w14:paraId="23CBF42B" w14:textId="107BB7E0" w:rsidR="0085602E" w:rsidRPr="001B11AB" w:rsidRDefault="0085602E" w:rsidP="00897F23">
            <w:pPr>
              <w:pStyle w:val="Default"/>
              <w:spacing w:after="60"/>
              <w:jc w:val="both"/>
              <w:rPr>
                <w:rFonts w:ascii="Times New Roman" w:eastAsiaTheme="minorHAnsi" w:hAnsi="Times New Roman" w:cs="Times New Roman"/>
                <w:i/>
                <w:color w:val="auto"/>
                <w:sz w:val="20"/>
                <w:szCs w:val="20"/>
                <w:lang w:val="ru-RU" w:eastAsia="en-US"/>
              </w:rPr>
            </w:pPr>
            <w:r w:rsidRPr="001B11AB">
              <w:rPr>
                <w:rFonts w:ascii="Times New Roman" w:hAnsi="Times New Roman" w:cs="Times New Roman"/>
                <w:b/>
                <w:i/>
                <w:color w:val="auto"/>
                <w:sz w:val="20"/>
                <w:szCs w:val="20"/>
                <w:lang w:val="sr-Cyrl-CS"/>
              </w:rPr>
              <w:t>Напомена:</w:t>
            </w:r>
            <w:r w:rsidRPr="001B11AB">
              <w:rPr>
                <w:rFonts w:ascii="Times New Roman" w:hAnsi="Times New Roman" w:cs="Times New Roman"/>
                <w:i/>
                <w:color w:val="auto"/>
                <w:sz w:val="20"/>
                <w:szCs w:val="20"/>
                <w:lang w:val="sr-Cyrl-CS"/>
              </w:rPr>
              <w:t xml:space="preserve"> </w:t>
            </w:r>
            <w:r w:rsidR="00672CC3" w:rsidRPr="001B11AB">
              <w:rPr>
                <w:rFonts w:ascii="Times New Roman" w:eastAsiaTheme="minorHAnsi" w:hAnsi="Times New Roman" w:cs="Times New Roman"/>
                <w:i/>
                <w:color w:val="auto"/>
                <w:sz w:val="20"/>
                <w:szCs w:val="20"/>
                <w:lang w:val="ru-RU" w:eastAsia="en-US"/>
              </w:rPr>
              <w:t>Б</w:t>
            </w:r>
            <w:r w:rsidRPr="001B11AB">
              <w:rPr>
                <w:rFonts w:ascii="Times New Roman" w:eastAsiaTheme="minorHAnsi" w:hAnsi="Times New Roman" w:cs="Times New Roman"/>
                <w:i/>
                <w:color w:val="auto"/>
                <w:sz w:val="20"/>
                <w:szCs w:val="20"/>
                <w:lang w:val="ru-RU" w:eastAsia="en-US"/>
              </w:rPr>
              <w:t xml:space="preserve">анка </w:t>
            </w:r>
            <w:r w:rsidR="00A91766" w:rsidRPr="001B11AB">
              <w:rPr>
                <w:rFonts w:ascii="Times New Roman" w:eastAsiaTheme="minorHAnsi" w:hAnsi="Times New Roman" w:cs="Times New Roman"/>
                <w:i/>
                <w:color w:val="auto"/>
                <w:sz w:val="20"/>
                <w:szCs w:val="20"/>
                <w:lang w:val="ru-RU" w:eastAsia="en-US"/>
              </w:rPr>
              <w:t xml:space="preserve">у овом дијелу </w:t>
            </w:r>
            <w:r w:rsidRPr="001B11AB">
              <w:rPr>
                <w:rFonts w:ascii="Times New Roman" w:eastAsiaTheme="minorHAnsi" w:hAnsi="Times New Roman" w:cs="Times New Roman"/>
                <w:i/>
                <w:color w:val="auto"/>
                <w:sz w:val="20"/>
                <w:szCs w:val="20"/>
                <w:lang w:val="ru-RU" w:eastAsia="en-US"/>
              </w:rPr>
              <w:t xml:space="preserve">наводи мјере и активности које је предузела </w:t>
            </w:r>
            <w:r w:rsidR="00672CC3" w:rsidRPr="001B11AB">
              <w:rPr>
                <w:rFonts w:ascii="Times New Roman" w:eastAsiaTheme="minorHAnsi" w:hAnsi="Times New Roman" w:cs="Times New Roman"/>
                <w:i/>
                <w:color w:val="auto"/>
                <w:sz w:val="20"/>
                <w:szCs w:val="20"/>
                <w:lang w:val="ru-RU" w:eastAsia="en-US"/>
              </w:rPr>
              <w:t>ради</w:t>
            </w:r>
            <w:r w:rsidRPr="001B11AB">
              <w:rPr>
                <w:rFonts w:ascii="Times New Roman" w:eastAsiaTheme="minorHAnsi" w:hAnsi="Times New Roman" w:cs="Times New Roman"/>
                <w:i/>
                <w:color w:val="auto"/>
                <w:sz w:val="20"/>
                <w:szCs w:val="20"/>
                <w:lang w:val="ru-RU" w:eastAsia="en-US"/>
              </w:rPr>
              <w:t xml:space="preserve"> отклањања уочених недостатака и/или слабости у </w:t>
            </w:r>
            <w:r w:rsidRPr="001B11AB">
              <w:rPr>
                <w:rFonts w:ascii="Times New Roman" w:eastAsiaTheme="minorHAnsi" w:hAnsi="Times New Roman" w:cs="Times New Roman"/>
                <w:i/>
                <w:color w:val="auto"/>
                <w:sz w:val="20"/>
                <w:szCs w:val="20"/>
                <w:lang w:val="en-US" w:eastAsia="en-US"/>
              </w:rPr>
              <w:t>ICAAP</w:t>
            </w:r>
            <w:r w:rsidRPr="001B11AB">
              <w:rPr>
                <w:rFonts w:ascii="Times New Roman" w:eastAsiaTheme="minorHAnsi" w:hAnsi="Times New Roman" w:cs="Times New Roman"/>
                <w:i/>
                <w:color w:val="auto"/>
                <w:sz w:val="20"/>
                <w:szCs w:val="20"/>
                <w:lang w:val="ru-RU" w:eastAsia="en-US"/>
              </w:rPr>
              <w:t xml:space="preserve">-у или побољшања </w:t>
            </w:r>
            <w:r w:rsidRPr="001B11AB">
              <w:rPr>
                <w:rFonts w:ascii="Times New Roman" w:eastAsiaTheme="minorHAnsi" w:hAnsi="Times New Roman" w:cs="Times New Roman"/>
                <w:i/>
                <w:color w:val="auto"/>
                <w:sz w:val="20"/>
                <w:szCs w:val="20"/>
                <w:lang w:val="en-US" w:eastAsia="en-US"/>
              </w:rPr>
              <w:t>ICAAP</w:t>
            </w:r>
            <w:r w:rsidRPr="001B11AB">
              <w:rPr>
                <w:rFonts w:ascii="Times New Roman" w:eastAsiaTheme="minorHAnsi" w:hAnsi="Times New Roman" w:cs="Times New Roman"/>
                <w:i/>
                <w:color w:val="auto"/>
                <w:sz w:val="20"/>
                <w:szCs w:val="20"/>
                <w:lang w:val="ru-RU" w:eastAsia="en-US"/>
              </w:rPr>
              <w:t>-а, односно унапређ</w:t>
            </w:r>
            <w:r w:rsidR="000F17C9" w:rsidRPr="001B11AB">
              <w:rPr>
                <w:rFonts w:ascii="Times New Roman" w:eastAsiaTheme="minorHAnsi" w:hAnsi="Times New Roman" w:cs="Times New Roman"/>
                <w:i/>
                <w:color w:val="auto"/>
                <w:sz w:val="20"/>
                <w:szCs w:val="20"/>
                <w:lang w:val="ru-RU" w:eastAsia="en-US"/>
              </w:rPr>
              <w:t>ива</w:t>
            </w:r>
            <w:r w:rsidRPr="001B11AB">
              <w:rPr>
                <w:rFonts w:ascii="Times New Roman" w:eastAsiaTheme="minorHAnsi" w:hAnsi="Times New Roman" w:cs="Times New Roman"/>
                <w:i/>
                <w:color w:val="auto"/>
                <w:sz w:val="20"/>
                <w:szCs w:val="20"/>
                <w:lang w:val="ru-RU" w:eastAsia="en-US"/>
              </w:rPr>
              <w:t xml:space="preserve">ња приступа за утврђивање интерних капиталних захтјева за ризике којима је изложена или би могла бити изложена у пословању. </w:t>
            </w:r>
          </w:p>
          <w:p w14:paraId="6262E9C4" w14:textId="7BD17FC3" w:rsidR="0085602E" w:rsidRPr="001B11AB" w:rsidRDefault="0085602E" w:rsidP="00897F23">
            <w:pPr>
              <w:pageBreakBefore/>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lastRenderedPageBreak/>
              <w:t>Полазећи од резул</w:t>
            </w:r>
            <w:r w:rsidR="00672CC3" w:rsidRPr="001B11AB">
              <w:rPr>
                <w:rFonts w:ascii="Times New Roman" w:eastAsiaTheme="minorHAnsi" w:hAnsi="Times New Roman" w:cs="Times New Roman"/>
                <w:i/>
                <w:sz w:val="20"/>
                <w:szCs w:val="20"/>
                <w:lang w:val="ru-RU"/>
              </w:rPr>
              <w:t>т</w:t>
            </w:r>
            <w:r w:rsidRPr="001B11AB">
              <w:rPr>
                <w:rFonts w:ascii="Times New Roman" w:eastAsiaTheme="minorHAnsi" w:hAnsi="Times New Roman" w:cs="Times New Roman"/>
                <w:i/>
                <w:sz w:val="20"/>
                <w:szCs w:val="20"/>
                <w:lang w:val="ru-RU"/>
              </w:rPr>
              <w:t>ата извршене самопроцјене појединих елемената управљања ризицима и властитих процјена изложености значајним ризицима, банка наводи и појашњава значајне недоста</w:t>
            </w:r>
            <w:r w:rsidR="00672CC3" w:rsidRPr="001B11AB">
              <w:rPr>
                <w:rFonts w:ascii="Times New Roman" w:eastAsiaTheme="minorHAnsi" w:hAnsi="Times New Roman" w:cs="Times New Roman"/>
                <w:i/>
                <w:sz w:val="20"/>
                <w:szCs w:val="20"/>
                <w:lang w:val="ru-RU"/>
              </w:rPr>
              <w:t>т</w:t>
            </w:r>
            <w:r w:rsidRPr="001B11AB">
              <w:rPr>
                <w:rFonts w:ascii="Times New Roman" w:eastAsiaTheme="minorHAnsi" w:hAnsi="Times New Roman" w:cs="Times New Roman"/>
                <w:i/>
                <w:sz w:val="20"/>
                <w:szCs w:val="20"/>
                <w:lang w:val="ru-RU"/>
              </w:rPr>
              <w:t xml:space="preserve">ке и слабости у </w:t>
            </w:r>
            <w:r w:rsidRPr="001B11AB">
              <w:rPr>
                <w:rFonts w:ascii="Times New Roman" w:eastAsiaTheme="minorHAnsi" w:hAnsi="Times New Roman" w:cs="Times New Roman"/>
                <w:i/>
                <w:sz w:val="20"/>
                <w:szCs w:val="20"/>
              </w:rPr>
              <w:t>ICAAP</w:t>
            </w:r>
            <w:r w:rsidRPr="001B11AB">
              <w:rPr>
                <w:rFonts w:ascii="Times New Roman" w:eastAsiaTheme="minorHAnsi" w:hAnsi="Times New Roman" w:cs="Times New Roman"/>
                <w:i/>
                <w:sz w:val="20"/>
                <w:szCs w:val="20"/>
                <w:lang w:val="ru-RU"/>
              </w:rPr>
              <w:t>-у, наводећи предложени план активности на отклањању тих недостатака и/или слабости или на унапређ</w:t>
            </w:r>
            <w:r w:rsidR="000F17C9" w:rsidRPr="001B11AB">
              <w:rPr>
                <w:rFonts w:ascii="Times New Roman" w:eastAsiaTheme="minorHAnsi" w:hAnsi="Times New Roman" w:cs="Times New Roman"/>
                <w:i/>
                <w:sz w:val="20"/>
                <w:szCs w:val="20"/>
                <w:lang w:val="ru-RU"/>
              </w:rPr>
              <w:t>ива</w:t>
            </w:r>
            <w:r w:rsidRPr="001B11AB">
              <w:rPr>
                <w:rFonts w:ascii="Times New Roman" w:eastAsiaTheme="minorHAnsi" w:hAnsi="Times New Roman" w:cs="Times New Roman"/>
                <w:i/>
                <w:sz w:val="20"/>
                <w:szCs w:val="20"/>
                <w:lang w:val="ru-RU"/>
              </w:rPr>
              <w:t xml:space="preserve">њу, </w:t>
            </w:r>
            <w:r w:rsidR="00672CC3" w:rsidRPr="001B11AB">
              <w:rPr>
                <w:rFonts w:ascii="Times New Roman" w:eastAsiaTheme="minorHAnsi" w:hAnsi="Times New Roman" w:cs="Times New Roman"/>
                <w:i/>
                <w:sz w:val="20"/>
                <w:szCs w:val="20"/>
                <w:lang w:val="ru-RU"/>
              </w:rPr>
              <w:t>тј.</w:t>
            </w:r>
            <w:r w:rsidRPr="001B11AB">
              <w:rPr>
                <w:rFonts w:ascii="Times New Roman" w:eastAsiaTheme="minorHAnsi" w:hAnsi="Times New Roman" w:cs="Times New Roman"/>
                <w:i/>
                <w:sz w:val="20"/>
                <w:szCs w:val="20"/>
                <w:lang w:val="ru-RU"/>
              </w:rPr>
              <w:t xml:space="preserve"> побољшању елемената </w:t>
            </w:r>
            <w:r w:rsidRPr="001B11AB">
              <w:rPr>
                <w:rFonts w:ascii="Times New Roman" w:eastAsiaTheme="minorHAnsi" w:hAnsi="Times New Roman" w:cs="Times New Roman"/>
                <w:i/>
                <w:sz w:val="20"/>
                <w:szCs w:val="20"/>
              </w:rPr>
              <w:t>ICAAP</w:t>
            </w:r>
            <w:r w:rsidRPr="001B11AB">
              <w:rPr>
                <w:rFonts w:ascii="Times New Roman" w:eastAsiaTheme="minorHAnsi" w:hAnsi="Times New Roman" w:cs="Times New Roman"/>
                <w:i/>
                <w:sz w:val="20"/>
                <w:szCs w:val="20"/>
                <w:lang w:val="ru-RU"/>
              </w:rPr>
              <w:t>-а. Предложене мјере могу се односити на побољшање у погледу ризичног профила банке као резултата смањења појединих изложености, активности, кориш</w:t>
            </w:r>
            <w:r w:rsidR="0041702C" w:rsidRPr="001B11AB">
              <w:rPr>
                <w:rFonts w:ascii="Times New Roman" w:eastAsiaTheme="minorHAnsi" w:hAnsi="Times New Roman" w:cs="Times New Roman"/>
                <w:i/>
                <w:sz w:val="20"/>
                <w:szCs w:val="20"/>
                <w:lang w:val="ru-RU"/>
              </w:rPr>
              <w:t>ћ</w:t>
            </w:r>
            <w:r w:rsidRPr="001B11AB">
              <w:rPr>
                <w:rFonts w:ascii="Times New Roman" w:eastAsiaTheme="minorHAnsi" w:hAnsi="Times New Roman" w:cs="Times New Roman"/>
                <w:i/>
                <w:sz w:val="20"/>
                <w:szCs w:val="20"/>
                <w:lang w:val="ru-RU"/>
              </w:rPr>
              <w:t xml:space="preserve">ење нових техника признате кредитне заштите и </w:t>
            </w:r>
            <w:r w:rsidR="0041702C" w:rsidRPr="001B11AB">
              <w:rPr>
                <w:rFonts w:ascii="Times New Roman" w:eastAsiaTheme="minorHAnsi" w:hAnsi="Times New Roman" w:cs="Times New Roman"/>
                <w:i/>
                <w:sz w:val="20"/>
                <w:szCs w:val="20"/>
                <w:lang w:val="ru-RU"/>
              </w:rPr>
              <w:t>слично</w:t>
            </w:r>
            <w:r w:rsidRPr="001B11AB">
              <w:rPr>
                <w:rFonts w:ascii="Times New Roman" w:eastAsiaTheme="minorHAnsi" w:hAnsi="Times New Roman" w:cs="Times New Roman"/>
                <w:i/>
                <w:sz w:val="20"/>
                <w:szCs w:val="20"/>
                <w:lang w:val="ru-RU"/>
              </w:rPr>
              <w:t xml:space="preserve">, као и на побољшања у погледу управљања банком као резултат реорганизације банке или измјене </w:t>
            </w:r>
            <w:r w:rsidR="00672CC3" w:rsidRPr="001B11AB">
              <w:rPr>
                <w:rFonts w:ascii="Times New Roman" w:eastAsiaTheme="minorHAnsi" w:hAnsi="Times New Roman" w:cs="Times New Roman"/>
                <w:i/>
                <w:sz w:val="20"/>
                <w:szCs w:val="20"/>
                <w:lang w:val="ru-RU"/>
              </w:rPr>
              <w:t xml:space="preserve">њене </w:t>
            </w:r>
            <w:r w:rsidRPr="001B11AB">
              <w:rPr>
                <w:rFonts w:ascii="Times New Roman" w:eastAsiaTheme="minorHAnsi" w:hAnsi="Times New Roman" w:cs="Times New Roman"/>
                <w:i/>
                <w:sz w:val="20"/>
                <w:szCs w:val="20"/>
                <w:lang w:val="ru-RU"/>
              </w:rPr>
              <w:t>организационе структуре, унапређ</w:t>
            </w:r>
            <w:r w:rsidR="000F17C9" w:rsidRPr="001B11AB">
              <w:rPr>
                <w:rFonts w:ascii="Times New Roman" w:eastAsiaTheme="minorHAnsi" w:hAnsi="Times New Roman" w:cs="Times New Roman"/>
                <w:i/>
                <w:sz w:val="20"/>
                <w:szCs w:val="20"/>
                <w:lang w:val="ru-RU"/>
              </w:rPr>
              <w:t>ива</w:t>
            </w:r>
            <w:r w:rsidRPr="001B11AB">
              <w:rPr>
                <w:rFonts w:ascii="Times New Roman" w:eastAsiaTheme="minorHAnsi" w:hAnsi="Times New Roman" w:cs="Times New Roman"/>
                <w:i/>
                <w:sz w:val="20"/>
                <w:szCs w:val="20"/>
                <w:lang w:val="ru-RU"/>
              </w:rPr>
              <w:t xml:space="preserve">ња процеса управљања ризицима, јачања ефикасности система унутрашњих контрола и др. </w:t>
            </w:r>
          </w:p>
          <w:p w14:paraId="07AEDD5F" w14:textId="1648A4EE" w:rsidR="0085602E" w:rsidRPr="001B11AB" w:rsidRDefault="00672CC3" w:rsidP="00897F23">
            <w:pPr>
              <w:autoSpaceDE w:val="0"/>
              <w:autoSpaceDN w:val="0"/>
              <w:adjustRightInd w:val="0"/>
              <w:spacing w:after="60"/>
              <w:jc w:val="both"/>
              <w:rPr>
                <w:rFonts w:ascii="Times New Roman" w:eastAsiaTheme="minorHAnsi" w:hAnsi="Times New Roman" w:cs="Times New Roman"/>
                <w:i/>
                <w:sz w:val="20"/>
                <w:szCs w:val="20"/>
                <w:lang w:val="ru-RU"/>
              </w:rPr>
            </w:pPr>
            <w:r w:rsidRPr="001B11AB">
              <w:rPr>
                <w:rFonts w:ascii="Times New Roman" w:eastAsiaTheme="minorHAnsi" w:hAnsi="Times New Roman" w:cs="Times New Roman"/>
                <w:i/>
                <w:sz w:val="20"/>
                <w:szCs w:val="20"/>
                <w:lang w:val="ru-RU"/>
              </w:rPr>
              <w:t>Поред недостатака утврђених самопроцјеном, у</w:t>
            </w:r>
            <w:r w:rsidR="0085602E" w:rsidRPr="001B11AB">
              <w:rPr>
                <w:rFonts w:ascii="Times New Roman" w:eastAsiaTheme="minorHAnsi" w:hAnsi="Times New Roman" w:cs="Times New Roman"/>
                <w:i/>
                <w:sz w:val="20"/>
                <w:szCs w:val="20"/>
                <w:lang w:val="ru-RU"/>
              </w:rPr>
              <w:t xml:space="preserve"> овом </w:t>
            </w:r>
            <w:r w:rsidR="000B5651" w:rsidRPr="001B11AB">
              <w:rPr>
                <w:rFonts w:ascii="Times New Roman" w:eastAsiaTheme="minorHAnsi" w:hAnsi="Times New Roman" w:cs="Times New Roman"/>
                <w:i/>
                <w:sz w:val="20"/>
                <w:szCs w:val="20"/>
                <w:lang w:val="ru-RU"/>
              </w:rPr>
              <w:t>дијелу</w:t>
            </w:r>
            <w:r w:rsidR="0085602E" w:rsidRPr="001B11AB">
              <w:rPr>
                <w:rFonts w:ascii="Times New Roman" w:eastAsiaTheme="minorHAnsi" w:hAnsi="Times New Roman" w:cs="Times New Roman"/>
                <w:i/>
                <w:sz w:val="20"/>
                <w:szCs w:val="20"/>
                <w:lang w:val="ru-RU"/>
              </w:rPr>
              <w:t xml:space="preserve"> наводе </w:t>
            </w:r>
            <w:r w:rsidRPr="001B11AB">
              <w:rPr>
                <w:rFonts w:ascii="Times New Roman" w:eastAsiaTheme="minorHAnsi" w:hAnsi="Times New Roman" w:cs="Times New Roman"/>
                <w:i/>
                <w:sz w:val="20"/>
                <w:szCs w:val="20"/>
                <w:lang w:val="ru-RU"/>
              </w:rPr>
              <w:t xml:space="preserve">се </w:t>
            </w:r>
            <w:r w:rsidR="0085602E" w:rsidRPr="001B11AB">
              <w:rPr>
                <w:rFonts w:ascii="Times New Roman" w:eastAsiaTheme="minorHAnsi" w:hAnsi="Times New Roman" w:cs="Times New Roman"/>
                <w:i/>
                <w:sz w:val="20"/>
                <w:szCs w:val="20"/>
                <w:lang w:val="ru-RU"/>
              </w:rPr>
              <w:t>и недостаци и слабости утврђен</w:t>
            </w:r>
            <w:r w:rsidR="00DF53CF" w:rsidRPr="001B11AB">
              <w:rPr>
                <w:rFonts w:ascii="Times New Roman" w:eastAsiaTheme="minorHAnsi" w:hAnsi="Times New Roman" w:cs="Times New Roman"/>
                <w:i/>
                <w:sz w:val="20"/>
                <w:szCs w:val="20"/>
                <w:lang w:val="ru-RU"/>
              </w:rPr>
              <w:t>и</w:t>
            </w:r>
            <w:r w:rsidR="0085602E" w:rsidRPr="001B11AB">
              <w:rPr>
                <w:rFonts w:ascii="Times New Roman" w:eastAsiaTheme="minorHAnsi" w:hAnsi="Times New Roman" w:cs="Times New Roman"/>
                <w:i/>
                <w:sz w:val="20"/>
                <w:szCs w:val="20"/>
                <w:lang w:val="ru-RU"/>
              </w:rPr>
              <w:t xml:space="preserve"> током вршења прегледа и оцјене </w:t>
            </w:r>
            <w:r w:rsidR="0085602E" w:rsidRPr="001B11AB">
              <w:rPr>
                <w:rFonts w:ascii="Times New Roman" w:eastAsiaTheme="minorHAnsi" w:hAnsi="Times New Roman" w:cs="Times New Roman"/>
                <w:i/>
                <w:sz w:val="20"/>
                <w:szCs w:val="20"/>
              </w:rPr>
              <w:t>ICAAP</w:t>
            </w:r>
            <w:r w:rsidR="0085602E" w:rsidRPr="001B11AB">
              <w:rPr>
                <w:rFonts w:ascii="Times New Roman" w:eastAsiaTheme="minorHAnsi" w:hAnsi="Times New Roman" w:cs="Times New Roman"/>
                <w:i/>
                <w:sz w:val="20"/>
                <w:szCs w:val="20"/>
                <w:lang w:val="ru-RU"/>
              </w:rPr>
              <w:t xml:space="preserve">-а од стране интерне ревизије или других контролних функција у банци, посебних тијела, односно одбора формираних у банци и др., као и </w:t>
            </w:r>
            <w:r w:rsidR="00DF53CF" w:rsidRPr="001B11AB">
              <w:rPr>
                <w:rFonts w:ascii="Times New Roman" w:eastAsiaTheme="minorHAnsi" w:hAnsi="Times New Roman" w:cs="Times New Roman"/>
                <w:i/>
                <w:sz w:val="20"/>
                <w:szCs w:val="20"/>
                <w:lang w:val="ru-RU"/>
              </w:rPr>
              <w:t xml:space="preserve">недостатака које је </w:t>
            </w:r>
            <w:r w:rsidR="0085602E" w:rsidRPr="001B11AB">
              <w:rPr>
                <w:rFonts w:ascii="Times New Roman" w:eastAsiaTheme="minorHAnsi" w:hAnsi="Times New Roman" w:cs="Times New Roman"/>
                <w:i/>
                <w:sz w:val="20"/>
                <w:szCs w:val="20"/>
                <w:lang w:val="ru-RU"/>
              </w:rPr>
              <w:t>идентификова</w:t>
            </w:r>
            <w:r w:rsidR="00DF53CF" w:rsidRPr="001B11AB">
              <w:rPr>
                <w:rFonts w:ascii="Times New Roman" w:eastAsiaTheme="minorHAnsi" w:hAnsi="Times New Roman" w:cs="Times New Roman"/>
                <w:i/>
                <w:sz w:val="20"/>
                <w:szCs w:val="20"/>
                <w:lang w:val="ru-RU"/>
              </w:rPr>
              <w:t xml:space="preserve">ла </w:t>
            </w:r>
            <w:r w:rsidR="0085602E" w:rsidRPr="001B11AB">
              <w:rPr>
                <w:rFonts w:ascii="Times New Roman" w:eastAsiaTheme="minorHAnsi" w:hAnsi="Times New Roman" w:cs="Times New Roman"/>
                <w:i/>
                <w:sz w:val="20"/>
                <w:szCs w:val="20"/>
                <w:lang w:val="ru-RU"/>
              </w:rPr>
              <w:t>Агенциј</w:t>
            </w:r>
            <w:r w:rsidR="00DF53CF" w:rsidRPr="001B11AB">
              <w:rPr>
                <w:rFonts w:ascii="Times New Roman" w:eastAsiaTheme="minorHAnsi" w:hAnsi="Times New Roman" w:cs="Times New Roman"/>
                <w:i/>
                <w:sz w:val="20"/>
                <w:szCs w:val="20"/>
                <w:lang w:val="ru-RU"/>
              </w:rPr>
              <w:t>а</w:t>
            </w:r>
            <w:r w:rsidR="0085602E" w:rsidRPr="001B11AB">
              <w:rPr>
                <w:rFonts w:ascii="Times New Roman" w:eastAsiaTheme="minorHAnsi" w:hAnsi="Times New Roman" w:cs="Times New Roman"/>
                <w:i/>
                <w:sz w:val="20"/>
                <w:szCs w:val="20"/>
                <w:lang w:val="ru-RU"/>
              </w:rPr>
              <w:t xml:space="preserve">. </w:t>
            </w:r>
          </w:p>
          <w:p w14:paraId="5A6F3ED5" w14:textId="441C9375" w:rsidR="0085602E" w:rsidRPr="001B11AB" w:rsidRDefault="0085602E" w:rsidP="00897F23">
            <w:pPr>
              <w:spacing w:after="60"/>
              <w:jc w:val="both"/>
              <w:rPr>
                <w:rFonts w:ascii="Times New Roman" w:hAnsi="Times New Roman" w:cs="Times New Roman"/>
                <w:i/>
                <w:sz w:val="20"/>
                <w:szCs w:val="20"/>
                <w:lang w:val="ru-RU"/>
              </w:rPr>
            </w:pPr>
            <w:r w:rsidRPr="001B11AB">
              <w:rPr>
                <w:rFonts w:ascii="Times New Roman" w:eastAsiaTheme="minorHAnsi" w:hAnsi="Times New Roman" w:cs="Times New Roman"/>
                <w:i/>
                <w:sz w:val="20"/>
                <w:szCs w:val="20"/>
                <w:lang w:val="ru-RU"/>
              </w:rPr>
              <w:t xml:space="preserve">Поред наведеног, у овом </w:t>
            </w:r>
            <w:r w:rsidR="000B5651" w:rsidRPr="001B11AB">
              <w:rPr>
                <w:rFonts w:ascii="Times New Roman" w:eastAsiaTheme="minorHAnsi" w:hAnsi="Times New Roman" w:cs="Times New Roman"/>
                <w:i/>
                <w:sz w:val="20"/>
                <w:szCs w:val="20"/>
                <w:lang w:val="ru-RU"/>
              </w:rPr>
              <w:t>дијелу</w:t>
            </w:r>
            <w:r w:rsidRPr="001B11AB">
              <w:rPr>
                <w:rFonts w:ascii="Times New Roman" w:eastAsiaTheme="minorHAnsi" w:hAnsi="Times New Roman" w:cs="Times New Roman"/>
                <w:i/>
                <w:sz w:val="20"/>
                <w:szCs w:val="20"/>
                <w:lang w:val="ru-RU"/>
              </w:rPr>
              <w:t xml:space="preserve"> Извјештаја о </w:t>
            </w:r>
            <w:r w:rsidRPr="001B11AB">
              <w:rPr>
                <w:rFonts w:ascii="Times New Roman" w:eastAsiaTheme="minorHAnsi" w:hAnsi="Times New Roman" w:cs="Times New Roman"/>
                <w:i/>
                <w:sz w:val="20"/>
                <w:szCs w:val="20"/>
              </w:rPr>
              <w:t>ICAAP</w:t>
            </w:r>
            <w:r w:rsidRPr="001B11AB">
              <w:rPr>
                <w:rFonts w:ascii="Times New Roman" w:eastAsiaTheme="minorHAnsi" w:hAnsi="Times New Roman" w:cs="Times New Roman"/>
                <w:i/>
                <w:sz w:val="20"/>
                <w:szCs w:val="20"/>
                <w:lang w:val="ru-RU"/>
              </w:rPr>
              <w:t>-у банка треба да објасни друге планиране промјене у вези са политиком и плановима капитала, стратегијом, политиком и процедурама за управљање ризицима у смислу планираних побољшања методологије за мјерење/</w:t>
            </w:r>
            <w:r w:rsidR="00127C27" w:rsidRPr="001B11AB">
              <w:rPr>
                <w:rFonts w:ascii="Times New Roman" w:eastAsiaTheme="minorHAnsi" w:hAnsi="Times New Roman" w:cs="Times New Roman"/>
                <w:i/>
                <w:sz w:val="20"/>
                <w:szCs w:val="20"/>
                <w:lang w:val="ru-RU"/>
              </w:rPr>
              <w:t xml:space="preserve"> </w:t>
            </w:r>
            <w:r w:rsidRPr="001B11AB">
              <w:rPr>
                <w:rFonts w:ascii="Times New Roman" w:eastAsiaTheme="minorHAnsi" w:hAnsi="Times New Roman" w:cs="Times New Roman"/>
                <w:i/>
                <w:sz w:val="20"/>
                <w:szCs w:val="20"/>
                <w:lang w:val="ru-RU"/>
              </w:rPr>
              <w:t>процјену интерних капиталних захтјева за покриће ризика, техника за управљање појединачним ризицима, система унутрашњих контрола у управљању ризицима и сл.</w:t>
            </w:r>
          </w:p>
        </w:tc>
      </w:tr>
    </w:tbl>
    <w:p w14:paraId="037257FE" w14:textId="77777777" w:rsidR="00E740BB" w:rsidRPr="001B11AB" w:rsidRDefault="00E740BB" w:rsidP="00007D7A">
      <w:pPr>
        <w:spacing w:after="0" w:line="240" w:lineRule="auto"/>
        <w:jc w:val="both"/>
        <w:rPr>
          <w:rFonts w:ascii="Times New Roman" w:hAnsi="Times New Roman" w:cs="Times New Roman"/>
          <w:b/>
          <w:sz w:val="20"/>
          <w:szCs w:val="20"/>
          <w:lang w:val="hr-HR"/>
        </w:rPr>
      </w:pPr>
    </w:p>
    <w:p w14:paraId="54A6706E" w14:textId="67934557" w:rsidR="00E740BB" w:rsidRPr="001B11AB" w:rsidRDefault="00E740BB" w:rsidP="001B11AB">
      <w:pPr>
        <w:pStyle w:val="Heading2"/>
        <w:numPr>
          <w:ilvl w:val="0"/>
          <w:numId w:val="27"/>
        </w:numPr>
        <w:spacing w:before="0" w:line="240" w:lineRule="auto"/>
        <w:ind w:left="709"/>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t>ОСТАЛЕ ИНФОРМАЦИЈЕ</w:t>
      </w:r>
    </w:p>
    <w:p w14:paraId="17D7F7BE" w14:textId="77777777" w:rsidR="007A32C6" w:rsidRPr="001B11AB" w:rsidRDefault="007A32C6" w:rsidP="007A32C6">
      <w:pPr>
        <w:spacing w:after="0" w:line="240" w:lineRule="auto"/>
        <w:rPr>
          <w:lang w:val="ru-RU"/>
        </w:rPr>
      </w:pPr>
    </w:p>
    <w:tbl>
      <w:tblPr>
        <w:tblStyle w:val="TableGrid"/>
        <w:tblW w:w="9214" w:type="dxa"/>
        <w:tblInd w:w="108" w:type="dxa"/>
        <w:tblLook w:val="04A0" w:firstRow="1" w:lastRow="0" w:firstColumn="1" w:lastColumn="0" w:noHBand="0" w:noVBand="1"/>
      </w:tblPr>
      <w:tblGrid>
        <w:gridCol w:w="9214"/>
      </w:tblGrid>
      <w:tr w:rsidR="005C6636" w:rsidRPr="001B11AB" w14:paraId="3A924FD2" w14:textId="77777777" w:rsidTr="002C5FE4">
        <w:tc>
          <w:tcPr>
            <w:tcW w:w="9214" w:type="dxa"/>
            <w:tcBorders>
              <w:bottom w:val="single" w:sz="4" w:space="0" w:color="auto"/>
            </w:tcBorders>
            <w:shd w:val="clear" w:color="auto" w:fill="F2F2F2" w:themeFill="background1" w:themeFillShade="F2"/>
          </w:tcPr>
          <w:p w14:paraId="10341EE7" w14:textId="77777777" w:rsidR="00E740BB" w:rsidRPr="001B11AB" w:rsidRDefault="00E740BB" w:rsidP="00897F23">
            <w:pPr>
              <w:spacing w:after="60"/>
              <w:rPr>
                <w:rFonts w:ascii="Times New Roman" w:hAnsi="Times New Roman" w:cs="Times New Roman"/>
                <w:sz w:val="20"/>
                <w:szCs w:val="20"/>
              </w:rPr>
            </w:pPr>
            <w:r w:rsidRPr="001B11AB">
              <w:rPr>
                <w:rFonts w:ascii="Times New Roman" w:hAnsi="Times New Roman" w:cs="Times New Roman"/>
                <w:b/>
                <w:sz w:val="20"/>
                <w:szCs w:val="20"/>
              </w:rPr>
              <w:t xml:space="preserve">9.1. </w:t>
            </w:r>
            <w:r w:rsidRPr="001B11AB">
              <w:rPr>
                <w:rFonts w:ascii="Times New Roman" w:hAnsi="Times New Roman" w:cs="Times New Roman"/>
                <w:b/>
                <w:bCs/>
                <w:sz w:val="20"/>
                <w:szCs w:val="20"/>
              </w:rPr>
              <w:t>Укључивање у консолидовани ICAAP</w:t>
            </w:r>
          </w:p>
        </w:tc>
      </w:tr>
      <w:tr w:rsidR="005C6636" w:rsidRPr="001B11AB" w14:paraId="008D7489" w14:textId="77777777" w:rsidTr="006F4726">
        <w:tc>
          <w:tcPr>
            <w:tcW w:w="9214" w:type="dxa"/>
            <w:shd w:val="clear" w:color="auto" w:fill="auto"/>
          </w:tcPr>
          <w:p w14:paraId="1A0D0535" w14:textId="77777777" w:rsidR="00E740BB" w:rsidRPr="001B11AB" w:rsidRDefault="00E740BB" w:rsidP="00897F23">
            <w:pPr>
              <w:widowControl w:val="0"/>
              <w:overflowPunct w:val="0"/>
              <w:autoSpaceDE w:val="0"/>
              <w:autoSpaceDN w:val="0"/>
              <w:adjustRightInd w:val="0"/>
              <w:spacing w:after="60"/>
              <w:jc w:val="both"/>
              <w:rPr>
                <w:rFonts w:ascii="Times New Roman" w:hAnsi="Times New Roman" w:cs="Times New Roman"/>
                <w:iCs/>
                <w:sz w:val="16"/>
                <w:szCs w:val="16"/>
                <w:lang w:val="ru-RU"/>
              </w:rPr>
            </w:pPr>
            <w:r w:rsidRPr="001B11AB">
              <w:rPr>
                <w:rFonts w:ascii="Times New Roman" w:hAnsi="Times New Roman" w:cs="Times New Roman"/>
                <w:i/>
                <w:sz w:val="20"/>
                <w:szCs w:val="20"/>
                <w:lang w:val="sr-Cyrl-CS"/>
              </w:rPr>
              <w:t xml:space="preserve">[Уколико је банка чланица банкарске групације из Европске уније или неке друге земље, потребно је да, поред овог извјештаја, достави и </w:t>
            </w:r>
            <w:r w:rsidR="005C7005" w:rsidRPr="001B11AB">
              <w:rPr>
                <w:rFonts w:ascii="Times New Roman" w:hAnsi="Times New Roman" w:cs="Times New Roman"/>
                <w:i/>
                <w:sz w:val="20"/>
                <w:szCs w:val="20"/>
                <w:lang w:val="sr-Cyrl-CS"/>
              </w:rPr>
              <w:t>И</w:t>
            </w:r>
            <w:r w:rsidRPr="001B11AB">
              <w:rPr>
                <w:rFonts w:ascii="Times New Roman" w:hAnsi="Times New Roman" w:cs="Times New Roman"/>
                <w:i/>
                <w:sz w:val="20"/>
                <w:szCs w:val="20"/>
                <w:lang w:val="sr-Cyrl-CS"/>
              </w:rPr>
              <w:t>звјештај о ICAAP-у, који доставља за потребе консолидованог извјештаја на нивоу матичне банке, те опише разлике у ова два извјештаја.]</w:t>
            </w:r>
          </w:p>
        </w:tc>
      </w:tr>
    </w:tbl>
    <w:p w14:paraId="4DBC5AAD" w14:textId="77777777" w:rsidR="00E740BB" w:rsidRPr="001B11AB" w:rsidRDefault="00E740BB" w:rsidP="00007D7A">
      <w:pPr>
        <w:spacing w:after="0" w:line="240" w:lineRule="auto"/>
        <w:jc w:val="both"/>
        <w:rPr>
          <w:rFonts w:ascii="Times New Roman" w:hAnsi="Times New Roman" w:cs="Times New Roman"/>
          <w:b/>
          <w:sz w:val="20"/>
          <w:szCs w:val="20"/>
          <w:lang w:val="sr-Cyrl-BA"/>
        </w:rPr>
      </w:pPr>
    </w:p>
    <w:tbl>
      <w:tblPr>
        <w:tblStyle w:val="TableGrid"/>
        <w:tblW w:w="9214" w:type="dxa"/>
        <w:tblInd w:w="108" w:type="dxa"/>
        <w:tblLook w:val="04A0" w:firstRow="1" w:lastRow="0" w:firstColumn="1" w:lastColumn="0" w:noHBand="0" w:noVBand="1"/>
      </w:tblPr>
      <w:tblGrid>
        <w:gridCol w:w="9214"/>
      </w:tblGrid>
      <w:tr w:rsidR="005C6636" w:rsidRPr="001B11AB" w14:paraId="7546A878" w14:textId="77777777" w:rsidTr="002C5FE4">
        <w:tc>
          <w:tcPr>
            <w:tcW w:w="9214" w:type="dxa"/>
            <w:tcBorders>
              <w:bottom w:val="single" w:sz="4" w:space="0" w:color="auto"/>
            </w:tcBorders>
            <w:shd w:val="clear" w:color="auto" w:fill="F2F2F2" w:themeFill="background1" w:themeFillShade="F2"/>
          </w:tcPr>
          <w:p w14:paraId="4DEF6D73" w14:textId="77777777" w:rsidR="00E740BB" w:rsidRPr="001B11AB" w:rsidRDefault="00E740BB" w:rsidP="00897F23">
            <w:pPr>
              <w:spacing w:after="60"/>
              <w:rPr>
                <w:rFonts w:ascii="Times New Roman" w:hAnsi="Times New Roman" w:cs="Times New Roman"/>
                <w:sz w:val="20"/>
                <w:szCs w:val="20"/>
              </w:rPr>
            </w:pPr>
            <w:r w:rsidRPr="001B11AB">
              <w:rPr>
                <w:rFonts w:ascii="Times New Roman" w:hAnsi="Times New Roman" w:cs="Times New Roman"/>
                <w:b/>
                <w:sz w:val="20"/>
                <w:szCs w:val="20"/>
              </w:rPr>
              <w:t xml:space="preserve">9.2. </w:t>
            </w:r>
            <w:r w:rsidRPr="001B11AB">
              <w:rPr>
                <w:rFonts w:ascii="Times New Roman" w:hAnsi="Times New Roman" w:cs="Times New Roman"/>
                <w:b/>
                <w:bCs/>
                <w:sz w:val="20"/>
                <w:szCs w:val="20"/>
              </w:rPr>
              <w:t>Остало</w:t>
            </w:r>
          </w:p>
        </w:tc>
      </w:tr>
      <w:tr w:rsidR="005C6636" w:rsidRPr="001B11AB" w14:paraId="249261E5" w14:textId="77777777" w:rsidTr="006F4726">
        <w:tc>
          <w:tcPr>
            <w:tcW w:w="9214" w:type="dxa"/>
            <w:shd w:val="clear" w:color="auto" w:fill="auto"/>
          </w:tcPr>
          <w:p w14:paraId="32B9FFAD" w14:textId="2146A35A" w:rsidR="00E740BB" w:rsidRPr="001B11AB" w:rsidRDefault="00E740BB" w:rsidP="00127C27">
            <w:pPr>
              <w:pStyle w:val="Default"/>
              <w:spacing w:after="60"/>
              <w:jc w:val="both"/>
              <w:rPr>
                <w:rFonts w:ascii="Times New Roman" w:hAnsi="Times New Roman" w:cs="Times New Roman"/>
                <w:i/>
                <w:color w:val="auto"/>
                <w:sz w:val="20"/>
                <w:szCs w:val="20"/>
                <w:lang w:val="sr-Cyrl-CS"/>
              </w:rPr>
            </w:pPr>
            <w:r w:rsidRPr="001B11AB">
              <w:rPr>
                <w:rFonts w:ascii="Times New Roman" w:hAnsi="Times New Roman" w:cs="Times New Roman"/>
                <w:i/>
                <w:color w:val="auto"/>
                <w:sz w:val="20"/>
                <w:szCs w:val="20"/>
                <w:lang w:val="ru-RU"/>
              </w:rPr>
              <w:t>[</w:t>
            </w:r>
            <w:r w:rsidRPr="001B11AB">
              <w:rPr>
                <w:rFonts w:ascii="Times New Roman" w:hAnsi="Times New Roman" w:cs="Times New Roman"/>
                <w:i/>
                <w:color w:val="auto"/>
                <w:sz w:val="20"/>
                <w:szCs w:val="20"/>
                <w:lang w:val="sr-Cyrl-CS"/>
              </w:rPr>
              <w:t xml:space="preserve">Банка наводи остале информације и резултате ICAAP-а који нису обухваћени у </w:t>
            </w:r>
            <w:r w:rsidR="00127C27" w:rsidRPr="001B11AB">
              <w:rPr>
                <w:rFonts w:ascii="Times New Roman" w:hAnsi="Times New Roman" w:cs="Times New Roman"/>
                <w:i/>
                <w:color w:val="auto"/>
                <w:sz w:val="20"/>
                <w:szCs w:val="20"/>
                <w:lang w:val="sr-Cyrl-CS"/>
              </w:rPr>
              <w:t>друг</w:t>
            </w:r>
            <w:r w:rsidR="0085602E" w:rsidRPr="001B11AB">
              <w:rPr>
                <w:rFonts w:ascii="Times New Roman" w:hAnsi="Times New Roman" w:cs="Times New Roman"/>
                <w:i/>
                <w:color w:val="auto"/>
                <w:sz w:val="20"/>
                <w:szCs w:val="20"/>
                <w:lang w:val="sr-Cyrl-CS"/>
              </w:rPr>
              <w:t>им дијеловима овог извјештаја,</w:t>
            </w:r>
            <w:r w:rsidR="00D51513" w:rsidRPr="001B11AB">
              <w:rPr>
                <w:rFonts w:ascii="Times New Roman" w:hAnsi="Times New Roman" w:cs="Times New Roman"/>
                <w:i/>
                <w:color w:val="auto"/>
                <w:sz w:val="20"/>
                <w:szCs w:val="20"/>
                <w:lang w:val="sr-Cyrl-CS"/>
              </w:rPr>
              <w:t xml:space="preserve"> </w:t>
            </w:r>
            <w:r w:rsidR="0041702C" w:rsidRPr="001B11AB">
              <w:rPr>
                <w:rFonts w:ascii="Times New Roman" w:hAnsi="Times New Roman" w:cs="Times New Roman"/>
                <w:i/>
                <w:color w:val="auto"/>
                <w:sz w:val="20"/>
                <w:szCs w:val="20"/>
                <w:lang w:val="sr-Cyrl-CS"/>
              </w:rPr>
              <w:t>а</w:t>
            </w:r>
            <w:r w:rsidR="0085602E" w:rsidRPr="001B11AB">
              <w:rPr>
                <w:rFonts w:ascii="Times New Roman" w:hAnsi="Times New Roman" w:cs="Times New Roman"/>
                <w:i/>
                <w:color w:val="auto"/>
                <w:sz w:val="20"/>
                <w:szCs w:val="20"/>
                <w:lang w:val="sr-Cyrl-CS"/>
              </w:rPr>
              <w:t xml:space="preserve"> за које сматра да треба да буду објашњени с обзиром на њихову релевантност за оцјену адекватности ICAAP-а банке. Банка обавезно наводи и појашњава начин на који обезбјеђује квалитет податак</w:t>
            </w:r>
            <w:r w:rsidR="00127C27" w:rsidRPr="001B11AB">
              <w:rPr>
                <w:rFonts w:ascii="Times New Roman" w:hAnsi="Times New Roman" w:cs="Times New Roman"/>
                <w:i/>
                <w:color w:val="auto"/>
                <w:sz w:val="20"/>
                <w:szCs w:val="20"/>
                <w:lang w:val="sr-Cyrl-CS"/>
              </w:rPr>
              <w:t>а коришћених за потребе ICAAP-а</w:t>
            </w:r>
            <w:r w:rsidR="0085602E" w:rsidRPr="001B11AB">
              <w:rPr>
                <w:rFonts w:ascii="Times New Roman" w:hAnsi="Times New Roman" w:cs="Times New Roman"/>
                <w:i/>
                <w:color w:val="auto"/>
                <w:sz w:val="20"/>
                <w:szCs w:val="20"/>
                <w:lang w:val="sr-Cyrl-CS"/>
              </w:rPr>
              <w:t xml:space="preserve"> те описује начин на који је информатичка подршка у овом сегменту интегрисана у </w:t>
            </w:r>
            <w:r w:rsidR="00127C27" w:rsidRPr="001B11AB">
              <w:rPr>
                <w:rFonts w:ascii="Times New Roman" w:hAnsi="Times New Roman" w:cs="Times New Roman"/>
                <w:i/>
                <w:color w:val="auto"/>
                <w:sz w:val="20"/>
                <w:szCs w:val="20"/>
                <w:lang w:val="sr-Cyrl-CS"/>
              </w:rPr>
              <w:t xml:space="preserve">њен </w:t>
            </w:r>
            <w:r w:rsidR="0085602E" w:rsidRPr="001B11AB">
              <w:rPr>
                <w:rFonts w:ascii="Times New Roman" w:hAnsi="Times New Roman" w:cs="Times New Roman"/>
                <w:i/>
                <w:color w:val="auto"/>
                <w:sz w:val="20"/>
                <w:szCs w:val="20"/>
                <w:lang w:val="sr-Cyrl-CS"/>
              </w:rPr>
              <w:t>информациони систем, што се не о</w:t>
            </w:r>
            <w:r w:rsidR="00127C27" w:rsidRPr="001B11AB">
              <w:rPr>
                <w:rFonts w:ascii="Times New Roman" w:hAnsi="Times New Roman" w:cs="Times New Roman"/>
                <w:i/>
                <w:color w:val="auto"/>
                <w:sz w:val="20"/>
                <w:szCs w:val="20"/>
                <w:lang w:val="sr-Cyrl-CS"/>
              </w:rPr>
              <w:t>дноси само на извјештајне сврхе</w:t>
            </w:r>
            <w:r w:rsidR="0085602E" w:rsidRPr="001B11AB">
              <w:rPr>
                <w:rFonts w:ascii="Times New Roman" w:hAnsi="Times New Roman" w:cs="Times New Roman"/>
                <w:i/>
                <w:color w:val="auto"/>
                <w:sz w:val="20"/>
                <w:szCs w:val="20"/>
                <w:lang w:val="sr-Cyrl-CS"/>
              </w:rPr>
              <w:t xml:space="preserve"> већ и за доношење пословних одлука.</w:t>
            </w:r>
            <w:r w:rsidRPr="001B11AB">
              <w:rPr>
                <w:rFonts w:ascii="Times New Roman" w:hAnsi="Times New Roman" w:cs="Times New Roman"/>
                <w:i/>
                <w:color w:val="auto"/>
                <w:sz w:val="20"/>
                <w:szCs w:val="20"/>
                <w:lang w:val="sr-Cyrl-CS"/>
              </w:rPr>
              <w:t>]</w:t>
            </w:r>
          </w:p>
        </w:tc>
      </w:tr>
    </w:tbl>
    <w:p w14:paraId="1EC26410" w14:textId="77777777" w:rsidR="00E740BB" w:rsidRPr="001B11AB" w:rsidRDefault="00E740BB" w:rsidP="00897F23">
      <w:pPr>
        <w:spacing w:after="0" w:line="240" w:lineRule="auto"/>
        <w:jc w:val="both"/>
        <w:rPr>
          <w:rFonts w:ascii="Times New Roman" w:hAnsi="Times New Roman" w:cs="Times New Roman"/>
          <w:b/>
          <w:i/>
          <w:sz w:val="20"/>
          <w:szCs w:val="20"/>
          <w:lang w:val="ru-RU"/>
        </w:rPr>
      </w:pPr>
    </w:p>
    <w:p w14:paraId="2285736F" w14:textId="0D0B932B" w:rsidR="00E740BB" w:rsidRPr="001B11AB" w:rsidRDefault="00E740BB" w:rsidP="00897F23">
      <w:pPr>
        <w:spacing w:after="0" w:line="240" w:lineRule="auto"/>
        <w:jc w:val="both"/>
        <w:rPr>
          <w:rFonts w:ascii="Times New Roman" w:hAnsi="Times New Roman" w:cs="Times New Roman"/>
          <w:b/>
          <w:i/>
          <w:sz w:val="20"/>
          <w:szCs w:val="20"/>
          <w:lang w:val="ru-RU"/>
        </w:rPr>
      </w:pPr>
      <w:r w:rsidRPr="001B11AB">
        <w:rPr>
          <w:rFonts w:ascii="Times New Roman" w:hAnsi="Times New Roman" w:cs="Times New Roman"/>
          <w:b/>
          <w:i/>
          <w:sz w:val="20"/>
          <w:szCs w:val="20"/>
          <w:lang w:val="ru-RU"/>
        </w:rPr>
        <w:t>Напомена: Информације наведене у једном дијелу овог извјештаја није потребно понављати у неком другом дијелу, већ је довољно позвати се на дио у којем су те информације наведене (</w:t>
      </w:r>
      <w:r w:rsidR="00127C27" w:rsidRPr="001B11AB">
        <w:rPr>
          <w:rFonts w:ascii="Times New Roman" w:hAnsi="Times New Roman" w:cs="Times New Roman"/>
          <w:b/>
          <w:i/>
          <w:sz w:val="20"/>
          <w:szCs w:val="20"/>
          <w:lang w:val="ru-RU"/>
        </w:rPr>
        <w:t>изузев у дијеловима 1.3–</w:t>
      </w:r>
      <w:r w:rsidR="00F21ABA" w:rsidRPr="001B11AB">
        <w:rPr>
          <w:rFonts w:ascii="Times New Roman" w:hAnsi="Times New Roman" w:cs="Times New Roman"/>
          <w:b/>
          <w:i/>
          <w:sz w:val="20"/>
          <w:szCs w:val="20"/>
          <w:lang w:val="ru-RU"/>
        </w:rPr>
        <w:t>1.8</w:t>
      </w:r>
      <w:r w:rsidR="00127C27" w:rsidRPr="001B11AB">
        <w:rPr>
          <w:rFonts w:ascii="Times New Roman" w:hAnsi="Times New Roman" w:cs="Times New Roman"/>
          <w:b/>
          <w:i/>
          <w:sz w:val="20"/>
          <w:szCs w:val="20"/>
          <w:lang w:val="ru-RU"/>
        </w:rPr>
        <w:t>, гдје</w:t>
      </w:r>
      <w:r w:rsidR="00F21ABA" w:rsidRPr="001B11AB">
        <w:rPr>
          <w:rFonts w:ascii="Times New Roman" w:hAnsi="Times New Roman" w:cs="Times New Roman"/>
          <w:b/>
          <w:i/>
          <w:sz w:val="20"/>
          <w:szCs w:val="20"/>
          <w:lang w:val="ru-RU"/>
        </w:rPr>
        <w:t xml:space="preserve"> је потребно навести најбитније информације и закључке који су </w:t>
      </w:r>
      <w:r w:rsidR="0009608A" w:rsidRPr="001B11AB">
        <w:rPr>
          <w:rFonts w:ascii="Times New Roman" w:hAnsi="Times New Roman" w:cs="Times New Roman"/>
          <w:b/>
          <w:i/>
          <w:sz w:val="20"/>
          <w:szCs w:val="20"/>
          <w:lang w:val="ru-RU"/>
        </w:rPr>
        <w:t xml:space="preserve">већ </w:t>
      </w:r>
      <w:r w:rsidR="00F21ABA" w:rsidRPr="001B11AB">
        <w:rPr>
          <w:rFonts w:ascii="Times New Roman" w:hAnsi="Times New Roman" w:cs="Times New Roman"/>
          <w:b/>
          <w:i/>
          <w:sz w:val="20"/>
          <w:szCs w:val="20"/>
          <w:lang w:val="ru-RU"/>
        </w:rPr>
        <w:t xml:space="preserve">наведени у другим </w:t>
      </w:r>
      <w:r w:rsidR="008A08D3" w:rsidRPr="001B11AB">
        <w:rPr>
          <w:rFonts w:ascii="Times New Roman" w:hAnsi="Times New Roman" w:cs="Times New Roman"/>
          <w:b/>
          <w:i/>
          <w:sz w:val="20"/>
          <w:szCs w:val="20"/>
          <w:lang w:val="sr-Cyrl-BA"/>
        </w:rPr>
        <w:t xml:space="preserve">одговарајућим </w:t>
      </w:r>
      <w:r w:rsidR="00F21ABA" w:rsidRPr="001B11AB">
        <w:rPr>
          <w:rFonts w:ascii="Times New Roman" w:hAnsi="Times New Roman" w:cs="Times New Roman"/>
          <w:b/>
          <w:i/>
          <w:sz w:val="20"/>
          <w:szCs w:val="20"/>
          <w:lang w:val="ru-RU"/>
        </w:rPr>
        <w:t>дијеловима и</w:t>
      </w:r>
      <w:r w:rsidR="00EC24BD" w:rsidRPr="001B11AB">
        <w:rPr>
          <w:rFonts w:ascii="Times New Roman" w:hAnsi="Times New Roman" w:cs="Times New Roman"/>
          <w:b/>
          <w:i/>
          <w:sz w:val="20"/>
          <w:szCs w:val="20"/>
          <w:lang w:val="ru-RU"/>
        </w:rPr>
        <w:t>з</w:t>
      </w:r>
      <w:r w:rsidR="00F21ABA" w:rsidRPr="001B11AB">
        <w:rPr>
          <w:rFonts w:ascii="Times New Roman" w:hAnsi="Times New Roman" w:cs="Times New Roman"/>
          <w:b/>
          <w:i/>
          <w:sz w:val="20"/>
          <w:szCs w:val="20"/>
          <w:lang w:val="ru-RU"/>
        </w:rPr>
        <w:t>вјештаја</w:t>
      </w:r>
      <w:r w:rsidRPr="001B11AB">
        <w:rPr>
          <w:rFonts w:ascii="Times New Roman" w:hAnsi="Times New Roman" w:cs="Times New Roman"/>
          <w:b/>
          <w:i/>
          <w:sz w:val="20"/>
          <w:szCs w:val="20"/>
          <w:lang w:val="ru-RU"/>
        </w:rPr>
        <w:t>).</w:t>
      </w:r>
    </w:p>
    <w:p w14:paraId="74AA36F2" w14:textId="77777777" w:rsidR="00F21ABA" w:rsidRPr="001B11AB" w:rsidRDefault="00F21ABA" w:rsidP="00897F23">
      <w:pPr>
        <w:spacing w:after="0" w:line="240" w:lineRule="auto"/>
        <w:jc w:val="both"/>
        <w:rPr>
          <w:rFonts w:ascii="Times New Roman" w:hAnsi="Times New Roman" w:cs="Times New Roman"/>
          <w:b/>
          <w:i/>
          <w:sz w:val="20"/>
          <w:szCs w:val="20"/>
          <w:lang w:val="ru-RU"/>
        </w:rPr>
      </w:pPr>
    </w:p>
    <w:p w14:paraId="410AE903" w14:textId="322ED4EC" w:rsidR="00F21ABA" w:rsidRPr="001B11AB" w:rsidRDefault="00F21ABA" w:rsidP="00007D7A">
      <w:pPr>
        <w:spacing w:after="0" w:line="240" w:lineRule="auto"/>
        <w:jc w:val="both"/>
        <w:rPr>
          <w:rFonts w:ascii="Times New Roman" w:hAnsi="Times New Roman" w:cs="Times New Roman"/>
          <w:b/>
          <w:i/>
          <w:sz w:val="20"/>
          <w:szCs w:val="20"/>
          <w:lang w:val="ru-RU"/>
        </w:rPr>
      </w:pPr>
      <w:r w:rsidRPr="001B11AB">
        <w:rPr>
          <w:rFonts w:ascii="Times New Roman" w:hAnsi="Times New Roman" w:cs="Times New Roman"/>
          <w:b/>
          <w:i/>
          <w:sz w:val="20"/>
          <w:szCs w:val="20"/>
          <w:lang w:val="ru-RU"/>
        </w:rPr>
        <w:t xml:space="preserve">Такође, није потребно достављати документацију коју је банка </w:t>
      </w:r>
      <w:r w:rsidR="00A91766" w:rsidRPr="001B11AB">
        <w:rPr>
          <w:rFonts w:ascii="Times New Roman" w:hAnsi="Times New Roman" w:cs="Times New Roman"/>
          <w:b/>
          <w:i/>
          <w:sz w:val="20"/>
          <w:szCs w:val="20"/>
          <w:lang w:val="ru-RU"/>
        </w:rPr>
        <w:t xml:space="preserve">раније </w:t>
      </w:r>
      <w:r w:rsidRPr="001B11AB">
        <w:rPr>
          <w:rFonts w:ascii="Times New Roman" w:hAnsi="Times New Roman" w:cs="Times New Roman"/>
          <w:b/>
          <w:i/>
          <w:sz w:val="20"/>
          <w:szCs w:val="20"/>
          <w:lang w:val="ru-RU"/>
        </w:rPr>
        <w:t>доставила Агенцији</w:t>
      </w:r>
      <w:r w:rsidR="00A91766" w:rsidRPr="001B11AB">
        <w:rPr>
          <w:rFonts w:ascii="Times New Roman" w:hAnsi="Times New Roman" w:cs="Times New Roman"/>
          <w:b/>
          <w:i/>
          <w:sz w:val="20"/>
          <w:szCs w:val="20"/>
          <w:lang w:val="ru-RU"/>
        </w:rPr>
        <w:t xml:space="preserve"> (само нову документацију и измјене или допуне раније достављене документације)</w:t>
      </w:r>
      <w:r w:rsidR="0009608A" w:rsidRPr="001B11AB">
        <w:rPr>
          <w:rFonts w:ascii="Times New Roman" w:hAnsi="Times New Roman" w:cs="Times New Roman"/>
          <w:b/>
          <w:i/>
          <w:sz w:val="20"/>
          <w:szCs w:val="20"/>
          <w:lang w:val="ru-RU"/>
        </w:rPr>
        <w:t>, али је наведено потребно на</w:t>
      </w:r>
      <w:r w:rsidR="006816EB" w:rsidRPr="001B11AB">
        <w:rPr>
          <w:rFonts w:ascii="Times New Roman" w:hAnsi="Times New Roman" w:cs="Times New Roman"/>
          <w:b/>
          <w:i/>
          <w:sz w:val="20"/>
          <w:szCs w:val="20"/>
          <w:lang w:val="ru-RU"/>
        </w:rPr>
        <w:t>вести</w:t>
      </w:r>
      <w:r w:rsidR="0009608A" w:rsidRPr="001B11AB">
        <w:rPr>
          <w:rFonts w:ascii="Times New Roman" w:hAnsi="Times New Roman" w:cs="Times New Roman"/>
          <w:b/>
          <w:i/>
          <w:sz w:val="20"/>
          <w:szCs w:val="20"/>
          <w:lang w:val="ru-RU"/>
        </w:rPr>
        <w:t xml:space="preserve"> у Приручнику. </w:t>
      </w:r>
    </w:p>
    <w:p w14:paraId="77003721" w14:textId="77777777" w:rsidR="00BF3375" w:rsidRPr="001B11AB" w:rsidRDefault="00BF3375" w:rsidP="00007D7A">
      <w:pPr>
        <w:spacing w:after="0" w:line="240" w:lineRule="auto"/>
        <w:rPr>
          <w:rFonts w:ascii="Times New Roman" w:hAnsi="Times New Roman" w:cs="Times New Roman"/>
          <w:lang w:val="sr-Cyrl-BA"/>
        </w:rPr>
        <w:sectPr w:rsidR="00BF3375" w:rsidRPr="001B11AB" w:rsidSect="003D782E">
          <w:pgSz w:w="11907" w:h="16840" w:code="9"/>
          <w:pgMar w:top="1418" w:right="1134" w:bottom="1134" w:left="1418" w:header="510" w:footer="397" w:gutter="0"/>
          <w:cols w:space="708"/>
          <w:docGrid w:linePitch="360"/>
        </w:sectPr>
      </w:pPr>
    </w:p>
    <w:p w14:paraId="5C032A3D" w14:textId="77777777" w:rsidR="005C7005" w:rsidRPr="001B11AB" w:rsidRDefault="00CE6A58" w:rsidP="00897F23">
      <w:pPr>
        <w:pStyle w:val="Heading1"/>
        <w:spacing w:before="0" w:line="240" w:lineRule="auto"/>
        <w:ind w:left="1350" w:hanging="1350"/>
        <w:rPr>
          <w:rFonts w:ascii="Times New Roman" w:hAnsi="Times New Roman" w:cs="Times New Roman"/>
          <w:color w:val="auto"/>
          <w:sz w:val="22"/>
          <w:szCs w:val="22"/>
          <w:lang w:val="ru-RU"/>
        </w:rPr>
      </w:pPr>
      <w:bookmarkStart w:id="2" w:name="_Toc501440390"/>
      <w:r w:rsidRPr="001B11AB">
        <w:rPr>
          <w:rFonts w:ascii="Times New Roman" w:hAnsi="Times New Roman" w:cs="Times New Roman"/>
          <w:color w:val="auto"/>
          <w:sz w:val="22"/>
          <w:szCs w:val="22"/>
          <w:lang w:val="ru-RU"/>
        </w:rPr>
        <w:lastRenderedPageBreak/>
        <w:t>Прилог 2.</w:t>
      </w:r>
      <w:r w:rsidR="00D51513" w:rsidRPr="001B11AB">
        <w:rPr>
          <w:rFonts w:ascii="Times New Roman" w:hAnsi="Times New Roman" w:cs="Times New Roman"/>
          <w:color w:val="auto"/>
          <w:sz w:val="22"/>
          <w:szCs w:val="22"/>
          <w:lang w:val="ru-RU"/>
        </w:rPr>
        <w:t xml:space="preserve"> </w:t>
      </w:r>
    </w:p>
    <w:p w14:paraId="007852BC" w14:textId="77777777" w:rsidR="005C7005" w:rsidRPr="001B11AB" w:rsidRDefault="005C7005" w:rsidP="00897F23">
      <w:pPr>
        <w:pStyle w:val="Heading1"/>
        <w:spacing w:before="0" w:line="240" w:lineRule="auto"/>
        <w:ind w:left="1350" w:hanging="1350"/>
        <w:rPr>
          <w:rFonts w:ascii="Times New Roman" w:hAnsi="Times New Roman" w:cs="Times New Roman"/>
          <w:color w:val="auto"/>
          <w:sz w:val="22"/>
          <w:szCs w:val="22"/>
          <w:lang w:val="ru-RU"/>
        </w:rPr>
      </w:pPr>
    </w:p>
    <w:p w14:paraId="230AB158" w14:textId="77777777" w:rsidR="005C7005" w:rsidRPr="001B11AB" w:rsidRDefault="005C7005" w:rsidP="00897F23">
      <w:pPr>
        <w:pStyle w:val="Heading1"/>
        <w:spacing w:before="0" w:line="240" w:lineRule="auto"/>
        <w:ind w:left="1350" w:hanging="1350"/>
        <w:jc w:val="center"/>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t xml:space="preserve">ДОДАТАК УЗ ИЗВЈЕШТАЈ О </w:t>
      </w:r>
      <w:r w:rsidRPr="001B11AB">
        <w:rPr>
          <w:rFonts w:ascii="Times New Roman" w:hAnsi="Times New Roman" w:cs="Times New Roman"/>
          <w:color w:val="auto"/>
          <w:sz w:val="22"/>
          <w:szCs w:val="22"/>
        </w:rPr>
        <w:t>ICAAP</w:t>
      </w:r>
      <w:r w:rsidRPr="001B11AB">
        <w:rPr>
          <w:rFonts w:ascii="Times New Roman" w:hAnsi="Times New Roman" w:cs="Times New Roman"/>
          <w:color w:val="auto"/>
          <w:sz w:val="22"/>
          <w:szCs w:val="22"/>
          <w:lang w:val="ru-RU"/>
        </w:rPr>
        <w:t>-у</w:t>
      </w:r>
    </w:p>
    <w:p w14:paraId="6C42358A" w14:textId="77777777" w:rsidR="00CE6A58" w:rsidRPr="001B11AB" w:rsidRDefault="005C7005" w:rsidP="00897F23">
      <w:pPr>
        <w:pStyle w:val="Heading1"/>
        <w:spacing w:before="0" w:line="240" w:lineRule="auto"/>
        <w:ind w:left="1350" w:hanging="1350"/>
        <w:jc w:val="center"/>
        <w:rPr>
          <w:rFonts w:ascii="Times New Roman" w:hAnsi="Times New Roman" w:cs="Times New Roman"/>
          <w:color w:val="auto"/>
          <w:sz w:val="22"/>
          <w:szCs w:val="22"/>
          <w:lang w:val="ru-RU"/>
        </w:rPr>
      </w:pPr>
      <w:r w:rsidRPr="001B11AB">
        <w:rPr>
          <w:rFonts w:ascii="Times New Roman" w:hAnsi="Times New Roman" w:cs="Times New Roman"/>
          <w:color w:val="auto"/>
          <w:sz w:val="22"/>
          <w:szCs w:val="22"/>
          <w:lang w:val="ru-RU"/>
        </w:rPr>
        <w:t>– СЕКТОРСКА И ИНДИВИДУАЛНА КОНЦЕНТРАЦИЈА</w:t>
      </w:r>
      <w:bookmarkEnd w:id="2"/>
    </w:p>
    <w:p w14:paraId="430CD9CB" w14:textId="77777777" w:rsidR="00CE6A58" w:rsidRPr="001B11AB" w:rsidRDefault="00CE6A58" w:rsidP="00897F23">
      <w:pPr>
        <w:pStyle w:val="ListParagraph"/>
        <w:autoSpaceDE w:val="0"/>
        <w:autoSpaceDN w:val="0"/>
        <w:adjustRightInd w:val="0"/>
        <w:spacing w:after="0" w:line="240" w:lineRule="auto"/>
        <w:ind w:left="432"/>
        <w:contextualSpacing w:val="0"/>
        <w:jc w:val="both"/>
        <w:rPr>
          <w:rFonts w:ascii="Times New Roman" w:hAnsi="Times New Roman" w:cs="Times New Roman"/>
          <w:b/>
          <w:sz w:val="24"/>
          <w:szCs w:val="24"/>
          <w:lang w:val="ru-RU"/>
        </w:rPr>
      </w:pPr>
    </w:p>
    <w:p w14:paraId="5F0C1D22" w14:textId="1147C327" w:rsidR="00CE6A58" w:rsidRPr="00F12B40" w:rsidRDefault="00F12B40" w:rsidP="00F12B40">
      <w:pPr>
        <w:autoSpaceDE w:val="0"/>
        <w:autoSpaceDN w:val="0"/>
        <w:adjustRightInd w:val="0"/>
        <w:spacing w:after="0" w:line="240" w:lineRule="auto"/>
        <w:rPr>
          <w:rFonts w:ascii="Times New Roman" w:hAnsi="Times New Roman" w:cs="Times New Roman"/>
          <w:b/>
        </w:rPr>
      </w:pPr>
      <w:r w:rsidRPr="00F12B40">
        <w:rPr>
          <w:rFonts w:ascii="Times New Roman" w:hAnsi="Times New Roman" w:cs="Times New Roman"/>
          <w:b/>
        </w:rPr>
        <w:t xml:space="preserve">1. </w:t>
      </w:r>
      <w:r w:rsidR="00CE6A58" w:rsidRPr="00F12B40">
        <w:rPr>
          <w:rFonts w:ascii="Times New Roman" w:hAnsi="Times New Roman" w:cs="Times New Roman"/>
          <w:b/>
        </w:rPr>
        <w:t>Секторска концентрација</w:t>
      </w:r>
    </w:p>
    <w:p w14:paraId="6EC679C4" w14:textId="77777777" w:rsidR="00CE6A58" w:rsidRPr="001B11AB" w:rsidRDefault="00CE6A58" w:rsidP="0078563A">
      <w:pPr>
        <w:autoSpaceDE w:val="0"/>
        <w:autoSpaceDN w:val="0"/>
        <w:adjustRightInd w:val="0"/>
        <w:spacing w:after="120" w:line="240" w:lineRule="auto"/>
        <w:jc w:val="both"/>
        <w:rPr>
          <w:rFonts w:ascii="Times New Roman" w:hAnsi="Times New Roman" w:cs="Times New Roman"/>
          <w:lang w:val="bs-Latn-BA"/>
        </w:rPr>
      </w:pPr>
      <w:r w:rsidRPr="001B11AB">
        <w:rPr>
          <w:rFonts w:ascii="Times New Roman" w:hAnsi="Times New Roman" w:cs="Times New Roman"/>
          <w:lang w:val="ru-RU"/>
        </w:rPr>
        <w:t xml:space="preserve">Банка израчунава укупну изложеност према сектору и податке уноси у </w:t>
      </w:r>
      <w:r w:rsidR="00E92210" w:rsidRPr="001B11AB">
        <w:rPr>
          <w:rFonts w:ascii="Times New Roman" w:hAnsi="Times New Roman" w:cs="Times New Roman"/>
          <w:lang w:val="ru-RU"/>
        </w:rPr>
        <w:t>Табелу 1</w:t>
      </w:r>
      <w:r w:rsidRPr="001B11AB">
        <w:rPr>
          <w:rFonts w:ascii="Times New Roman" w:hAnsi="Times New Roman" w:cs="Times New Roman"/>
          <w:lang w:val="ru-RU"/>
        </w:rPr>
        <w:t xml:space="preserve"> из овог прилога. Индекс секторске концентрације </w:t>
      </w:r>
      <w:r w:rsidRPr="001B11AB">
        <w:rPr>
          <w:rFonts w:ascii="Times New Roman" w:hAnsi="Times New Roman" w:cs="Times New Roman"/>
          <w:lang w:val="bs-Latn-BA"/>
        </w:rPr>
        <w:t xml:space="preserve">(HHIS) </w:t>
      </w:r>
      <w:r w:rsidRPr="001B11AB">
        <w:rPr>
          <w:rFonts w:ascii="Times New Roman" w:hAnsi="Times New Roman" w:cs="Times New Roman"/>
          <w:lang w:val="ru-RU"/>
        </w:rPr>
        <w:t>израчунава се у складу са сљедећом формулом</w:t>
      </w:r>
      <w:r w:rsidRPr="001B11AB">
        <w:rPr>
          <w:rFonts w:ascii="Times New Roman" w:hAnsi="Times New Roman" w:cs="Times New Roman"/>
          <w:lang w:val="bs-Latn-BA"/>
        </w:rPr>
        <w:t>:</w:t>
      </w:r>
    </w:p>
    <w:p w14:paraId="4F3A3AEE" w14:textId="77777777" w:rsidR="00CE6A58" w:rsidRPr="001B11AB" w:rsidRDefault="00CE6A58" w:rsidP="0078563A">
      <w:pPr>
        <w:autoSpaceDE w:val="0"/>
        <w:autoSpaceDN w:val="0"/>
        <w:adjustRightInd w:val="0"/>
        <w:spacing w:after="120" w:line="240" w:lineRule="auto"/>
        <w:jc w:val="both"/>
        <w:rPr>
          <w:rFonts w:ascii="Times New Roman" w:hAnsi="Times New Roman" w:cs="Times New Roman"/>
          <w:lang w:val="bs-Latn-BA"/>
        </w:rPr>
      </w:pPr>
      <w:r w:rsidRPr="001B11AB">
        <w:rPr>
          <w:rFonts w:ascii="Times New Roman" w:hAnsi="Times New Roman" w:cs="Times New Roman"/>
          <w:b/>
          <w:lang w:val="bs-Latn-BA"/>
        </w:rPr>
        <w:t>HHIS = Σ x2 / (Σx)2 * (Σx) / y* 100</w:t>
      </w:r>
      <w:r w:rsidRPr="001B11AB">
        <w:rPr>
          <w:rFonts w:ascii="Times New Roman" w:hAnsi="Times New Roman" w:cs="Times New Roman"/>
          <w:lang w:val="bs-Latn-BA"/>
        </w:rPr>
        <w:t xml:space="preserve">, </w:t>
      </w:r>
      <w:r w:rsidRPr="001B11AB">
        <w:rPr>
          <w:rFonts w:ascii="Times New Roman" w:hAnsi="Times New Roman" w:cs="Times New Roman"/>
          <w:lang w:val="ru-RU"/>
        </w:rPr>
        <w:t>гдје је</w:t>
      </w:r>
      <w:r w:rsidRPr="001B11AB">
        <w:rPr>
          <w:rFonts w:ascii="Times New Roman" w:hAnsi="Times New Roman" w:cs="Times New Roman"/>
          <w:lang w:val="bs-Latn-BA"/>
        </w:rPr>
        <w:t xml:space="preserve"> </w:t>
      </w:r>
      <w:r w:rsidRPr="001B11AB">
        <w:rPr>
          <w:rFonts w:ascii="Times New Roman" w:hAnsi="Times New Roman" w:cs="Times New Roman"/>
          <w:b/>
          <w:lang w:val="bs-Latn-BA"/>
        </w:rPr>
        <w:t>x</w:t>
      </w:r>
      <w:r w:rsidRPr="001B11AB">
        <w:rPr>
          <w:rFonts w:ascii="Times New Roman" w:hAnsi="Times New Roman" w:cs="Times New Roman"/>
          <w:lang w:val="bs-Latn-BA"/>
        </w:rPr>
        <w:t xml:space="preserve"> </w:t>
      </w:r>
      <w:r w:rsidRPr="001B11AB">
        <w:rPr>
          <w:rFonts w:ascii="Times New Roman" w:hAnsi="Times New Roman" w:cs="Times New Roman"/>
          <w:lang w:val="ru-RU"/>
        </w:rPr>
        <w:t>вриједност изложености одређеном сектору</w:t>
      </w:r>
      <w:r w:rsidRPr="001B11AB">
        <w:rPr>
          <w:rFonts w:ascii="Times New Roman" w:hAnsi="Times New Roman" w:cs="Times New Roman"/>
          <w:lang w:val="bs-Latn-BA"/>
        </w:rPr>
        <w:t xml:space="preserve">, </w:t>
      </w:r>
      <w:r w:rsidRPr="001B11AB">
        <w:rPr>
          <w:rFonts w:ascii="Times New Roman" w:hAnsi="Times New Roman" w:cs="Times New Roman"/>
          <w:lang w:val="ru-RU"/>
        </w:rPr>
        <w:t>а</w:t>
      </w:r>
      <w:r w:rsidRPr="001B11AB">
        <w:rPr>
          <w:rFonts w:ascii="Times New Roman" w:hAnsi="Times New Roman" w:cs="Times New Roman"/>
          <w:lang w:val="bs-Latn-BA"/>
        </w:rPr>
        <w:t xml:space="preserve"> </w:t>
      </w:r>
      <w:r w:rsidRPr="001B11AB">
        <w:rPr>
          <w:rFonts w:ascii="Times New Roman" w:hAnsi="Times New Roman" w:cs="Times New Roman"/>
          <w:b/>
          <w:lang w:val="bs-Latn-BA"/>
        </w:rPr>
        <w:t>y</w:t>
      </w:r>
      <w:r w:rsidRPr="001B11AB">
        <w:rPr>
          <w:rFonts w:ascii="Times New Roman" w:hAnsi="Times New Roman" w:cs="Times New Roman"/>
          <w:lang w:val="bs-Latn-BA"/>
        </w:rPr>
        <w:t xml:space="preserve"> </w:t>
      </w:r>
      <w:r w:rsidRPr="001B11AB">
        <w:rPr>
          <w:rFonts w:ascii="Times New Roman" w:hAnsi="Times New Roman" w:cs="Times New Roman"/>
          <w:lang w:val="ru-RU"/>
        </w:rPr>
        <w:t>вриједност укупне изложености</w:t>
      </w:r>
      <w:r w:rsidRPr="001B11AB">
        <w:rPr>
          <w:rFonts w:ascii="Times New Roman" w:hAnsi="Times New Roman" w:cs="Times New Roman"/>
          <w:lang w:val="bs-Latn-BA"/>
        </w:rPr>
        <w:t>.</w:t>
      </w:r>
    </w:p>
    <w:p w14:paraId="07F39781" w14:textId="77777777" w:rsidR="00CE6A58" w:rsidRPr="001B11AB" w:rsidRDefault="00CE6A58" w:rsidP="00897F23">
      <w:pPr>
        <w:autoSpaceDE w:val="0"/>
        <w:autoSpaceDN w:val="0"/>
        <w:adjustRightInd w:val="0"/>
        <w:spacing w:after="0" w:line="240" w:lineRule="auto"/>
        <w:jc w:val="both"/>
        <w:rPr>
          <w:rFonts w:ascii="Times New Roman" w:hAnsi="Times New Roman" w:cs="Times New Roman"/>
          <w:lang w:val="ru-RU"/>
        </w:rPr>
      </w:pPr>
      <w:r w:rsidRPr="001B11AB">
        <w:rPr>
          <w:rFonts w:ascii="Times New Roman" w:hAnsi="Times New Roman" w:cs="Times New Roman"/>
          <w:lang w:val="ru-RU"/>
        </w:rPr>
        <w:t>Банка врши класификацију својих изложености према секторима у складу са доступним подацима</w:t>
      </w:r>
      <w:r w:rsidRPr="001B11AB">
        <w:rPr>
          <w:rFonts w:ascii="Times New Roman" w:hAnsi="Times New Roman" w:cs="Times New Roman"/>
          <w:lang w:val="bs-Latn-BA"/>
        </w:rPr>
        <w:t>.</w:t>
      </w:r>
    </w:p>
    <w:p w14:paraId="2707D794" w14:textId="77777777" w:rsidR="00CE6A58" w:rsidRPr="001B11AB" w:rsidRDefault="00CE6A58" w:rsidP="0078563A">
      <w:pPr>
        <w:autoSpaceDE w:val="0"/>
        <w:autoSpaceDN w:val="0"/>
        <w:adjustRightInd w:val="0"/>
        <w:spacing w:after="120" w:line="240" w:lineRule="auto"/>
        <w:rPr>
          <w:rFonts w:ascii="Times New Roman" w:hAnsi="Times New Roman" w:cs="Times New Roman"/>
          <w:b/>
        </w:rPr>
      </w:pPr>
      <w:r w:rsidRPr="001B11AB">
        <w:rPr>
          <w:rFonts w:ascii="Times New Roman" w:hAnsi="Times New Roman" w:cs="Times New Roman"/>
          <w:b/>
        </w:rPr>
        <w:t>Табела 1.</w:t>
      </w:r>
    </w:p>
    <w:tbl>
      <w:tblPr>
        <w:tblStyle w:val="TableGrid"/>
        <w:tblW w:w="0" w:type="auto"/>
        <w:tblInd w:w="108" w:type="dxa"/>
        <w:tblLook w:val="04A0" w:firstRow="1" w:lastRow="0" w:firstColumn="1" w:lastColumn="0" w:noHBand="0" w:noVBand="1"/>
      </w:tblPr>
      <w:tblGrid>
        <w:gridCol w:w="3531"/>
        <w:gridCol w:w="3497"/>
        <w:gridCol w:w="2209"/>
      </w:tblGrid>
      <w:tr w:rsidR="005C6636" w:rsidRPr="001B11AB" w14:paraId="57F8D4DE" w14:textId="77777777" w:rsidTr="0078563A">
        <w:trPr>
          <w:trHeight w:val="340"/>
        </w:trPr>
        <w:tc>
          <w:tcPr>
            <w:tcW w:w="3573" w:type="dxa"/>
            <w:shd w:val="clear" w:color="auto" w:fill="F2F2F2" w:themeFill="background1" w:themeFillShade="F2"/>
            <w:vAlign w:val="center"/>
          </w:tcPr>
          <w:p w14:paraId="72E60694" w14:textId="77777777" w:rsidR="00CE6A58" w:rsidRPr="001B11AB" w:rsidRDefault="00CE6A58"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Сектор</w:t>
            </w:r>
            <w:r w:rsidRPr="001B11AB">
              <w:rPr>
                <w:rFonts w:ascii="Times New Roman" w:hAnsi="Times New Roman" w:cs="Times New Roman"/>
                <w:sz w:val="18"/>
                <w:szCs w:val="18"/>
                <w:vertAlign w:val="superscript"/>
              </w:rPr>
              <w:footnoteReference w:id="1"/>
            </w:r>
          </w:p>
        </w:tc>
        <w:tc>
          <w:tcPr>
            <w:tcW w:w="3544" w:type="dxa"/>
            <w:shd w:val="clear" w:color="auto" w:fill="F2F2F2" w:themeFill="background1" w:themeFillShade="F2"/>
            <w:vAlign w:val="center"/>
          </w:tcPr>
          <w:p w14:paraId="7D975658" w14:textId="77777777" w:rsidR="00CE6A58" w:rsidRPr="001B11AB" w:rsidRDefault="00CE6A58"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Укупна изложеност према сектору</w:t>
            </w:r>
          </w:p>
        </w:tc>
        <w:tc>
          <w:tcPr>
            <w:tcW w:w="2239" w:type="dxa"/>
            <w:shd w:val="clear" w:color="auto" w:fill="F2F2F2" w:themeFill="background1" w:themeFillShade="F2"/>
            <w:vAlign w:val="center"/>
          </w:tcPr>
          <w:p w14:paraId="31D87477" w14:textId="77777777" w:rsidR="00CE6A58" w:rsidRPr="001B11AB" w:rsidRDefault="00CE6A58"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w:t>
            </w:r>
          </w:p>
        </w:tc>
      </w:tr>
      <w:tr w:rsidR="005C6636" w:rsidRPr="001B11AB" w14:paraId="49B91CE3" w14:textId="77777777" w:rsidTr="0078563A">
        <w:trPr>
          <w:trHeight w:val="227"/>
        </w:trPr>
        <w:tc>
          <w:tcPr>
            <w:tcW w:w="3573" w:type="dxa"/>
          </w:tcPr>
          <w:p w14:paraId="000B281C" w14:textId="77777777" w:rsidR="00CE6A58" w:rsidRPr="001B11AB" w:rsidRDefault="00CE6A58" w:rsidP="00897F23">
            <w:pPr>
              <w:ind w:left="-4"/>
              <w:jc w:val="center"/>
              <w:rPr>
                <w:rFonts w:ascii="Times New Roman" w:hAnsi="Times New Roman" w:cs="Times New Roman"/>
                <w:b/>
                <w:sz w:val="18"/>
                <w:szCs w:val="18"/>
              </w:rPr>
            </w:pPr>
          </w:p>
        </w:tc>
        <w:tc>
          <w:tcPr>
            <w:tcW w:w="3544" w:type="dxa"/>
          </w:tcPr>
          <w:p w14:paraId="470E7D62"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11ECEFD3" w14:textId="77777777" w:rsidR="00CE6A58" w:rsidRPr="001B11AB" w:rsidRDefault="00CE6A58" w:rsidP="00897F23">
            <w:pPr>
              <w:ind w:left="-4"/>
              <w:jc w:val="center"/>
              <w:rPr>
                <w:rFonts w:ascii="Times New Roman" w:hAnsi="Times New Roman" w:cs="Times New Roman"/>
                <w:b/>
                <w:sz w:val="18"/>
                <w:szCs w:val="18"/>
              </w:rPr>
            </w:pPr>
          </w:p>
        </w:tc>
      </w:tr>
      <w:tr w:rsidR="005C6636" w:rsidRPr="001B11AB" w14:paraId="41EF5B0D" w14:textId="77777777" w:rsidTr="0078563A">
        <w:trPr>
          <w:trHeight w:val="227"/>
        </w:trPr>
        <w:tc>
          <w:tcPr>
            <w:tcW w:w="3573" w:type="dxa"/>
          </w:tcPr>
          <w:p w14:paraId="5D9602E2" w14:textId="77777777" w:rsidR="00CE6A58" w:rsidRPr="001B11AB" w:rsidRDefault="00CE6A58" w:rsidP="00897F23">
            <w:pPr>
              <w:ind w:left="-4"/>
              <w:jc w:val="center"/>
              <w:rPr>
                <w:rFonts w:ascii="Times New Roman" w:hAnsi="Times New Roman" w:cs="Times New Roman"/>
                <w:b/>
                <w:sz w:val="18"/>
                <w:szCs w:val="18"/>
              </w:rPr>
            </w:pPr>
          </w:p>
        </w:tc>
        <w:tc>
          <w:tcPr>
            <w:tcW w:w="3544" w:type="dxa"/>
          </w:tcPr>
          <w:p w14:paraId="5EF990CF"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273546F1" w14:textId="77777777" w:rsidR="00CE6A58" w:rsidRPr="001B11AB" w:rsidRDefault="00CE6A58" w:rsidP="00897F23">
            <w:pPr>
              <w:ind w:left="-4"/>
              <w:jc w:val="center"/>
              <w:rPr>
                <w:rFonts w:ascii="Times New Roman" w:hAnsi="Times New Roman" w:cs="Times New Roman"/>
                <w:b/>
                <w:sz w:val="18"/>
                <w:szCs w:val="18"/>
              </w:rPr>
            </w:pPr>
          </w:p>
        </w:tc>
      </w:tr>
      <w:tr w:rsidR="005C6636" w:rsidRPr="001B11AB" w14:paraId="725D386A" w14:textId="77777777" w:rsidTr="0078563A">
        <w:trPr>
          <w:trHeight w:val="227"/>
        </w:trPr>
        <w:tc>
          <w:tcPr>
            <w:tcW w:w="3573" w:type="dxa"/>
          </w:tcPr>
          <w:p w14:paraId="1684D0DA" w14:textId="77777777" w:rsidR="00CE6A58" w:rsidRPr="001B11AB" w:rsidRDefault="00CE6A58" w:rsidP="00897F23">
            <w:pPr>
              <w:ind w:left="-4"/>
              <w:jc w:val="center"/>
              <w:rPr>
                <w:rFonts w:ascii="Times New Roman" w:hAnsi="Times New Roman" w:cs="Times New Roman"/>
                <w:b/>
                <w:sz w:val="18"/>
                <w:szCs w:val="18"/>
              </w:rPr>
            </w:pPr>
          </w:p>
        </w:tc>
        <w:tc>
          <w:tcPr>
            <w:tcW w:w="3544" w:type="dxa"/>
          </w:tcPr>
          <w:p w14:paraId="004CE77B"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21591A93" w14:textId="77777777" w:rsidR="00CE6A58" w:rsidRPr="001B11AB" w:rsidRDefault="00CE6A58" w:rsidP="00897F23">
            <w:pPr>
              <w:ind w:left="-4"/>
              <w:jc w:val="center"/>
              <w:rPr>
                <w:rFonts w:ascii="Times New Roman" w:hAnsi="Times New Roman" w:cs="Times New Roman"/>
                <w:b/>
                <w:sz w:val="18"/>
                <w:szCs w:val="18"/>
              </w:rPr>
            </w:pPr>
          </w:p>
        </w:tc>
      </w:tr>
      <w:tr w:rsidR="005C6636" w:rsidRPr="001B11AB" w14:paraId="16150F05" w14:textId="77777777" w:rsidTr="0078563A">
        <w:trPr>
          <w:trHeight w:val="227"/>
        </w:trPr>
        <w:tc>
          <w:tcPr>
            <w:tcW w:w="3573" w:type="dxa"/>
          </w:tcPr>
          <w:p w14:paraId="7D4A3FE0" w14:textId="77777777" w:rsidR="00CE6A58" w:rsidRPr="001B11AB" w:rsidRDefault="00CE6A58" w:rsidP="00897F23">
            <w:pPr>
              <w:ind w:left="-4"/>
              <w:jc w:val="center"/>
              <w:rPr>
                <w:rFonts w:ascii="Times New Roman" w:hAnsi="Times New Roman" w:cs="Times New Roman"/>
                <w:b/>
                <w:sz w:val="18"/>
                <w:szCs w:val="18"/>
              </w:rPr>
            </w:pPr>
          </w:p>
        </w:tc>
        <w:tc>
          <w:tcPr>
            <w:tcW w:w="3544" w:type="dxa"/>
          </w:tcPr>
          <w:p w14:paraId="248180DE"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17398E4E" w14:textId="77777777" w:rsidR="00CE6A58" w:rsidRPr="001B11AB" w:rsidRDefault="00CE6A58" w:rsidP="00897F23">
            <w:pPr>
              <w:ind w:left="-4"/>
              <w:jc w:val="center"/>
              <w:rPr>
                <w:rFonts w:ascii="Times New Roman" w:hAnsi="Times New Roman" w:cs="Times New Roman"/>
                <w:b/>
                <w:sz w:val="18"/>
                <w:szCs w:val="18"/>
              </w:rPr>
            </w:pPr>
          </w:p>
        </w:tc>
      </w:tr>
      <w:tr w:rsidR="005C6636" w:rsidRPr="001B11AB" w14:paraId="0DC506F1" w14:textId="77777777" w:rsidTr="0078563A">
        <w:trPr>
          <w:trHeight w:val="227"/>
        </w:trPr>
        <w:tc>
          <w:tcPr>
            <w:tcW w:w="3573" w:type="dxa"/>
          </w:tcPr>
          <w:p w14:paraId="40EDEDA3" w14:textId="77777777" w:rsidR="00CE6A58" w:rsidRPr="001B11AB" w:rsidRDefault="00CE6A58" w:rsidP="00897F23">
            <w:pPr>
              <w:ind w:left="-4"/>
              <w:jc w:val="center"/>
              <w:rPr>
                <w:rFonts w:ascii="Times New Roman" w:hAnsi="Times New Roman" w:cs="Times New Roman"/>
                <w:b/>
                <w:sz w:val="18"/>
                <w:szCs w:val="18"/>
              </w:rPr>
            </w:pPr>
          </w:p>
        </w:tc>
        <w:tc>
          <w:tcPr>
            <w:tcW w:w="3544" w:type="dxa"/>
          </w:tcPr>
          <w:p w14:paraId="02C25040"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738D460B" w14:textId="77777777" w:rsidR="00CE6A58" w:rsidRPr="001B11AB" w:rsidRDefault="00CE6A58" w:rsidP="00897F23">
            <w:pPr>
              <w:ind w:left="-4"/>
              <w:jc w:val="center"/>
              <w:rPr>
                <w:rFonts w:ascii="Times New Roman" w:hAnsi="Times New Roman" w:cs="Times New Roman"/>
                <w:b/>
                <w:sz w:val="18"/>
                <w:szCs w:val="18"/>
              </w:rPr>
            </w:pPr>
          </w:p>
        </w:tc>
      </w:tr>
      <w:tr w:rsidR="005C6636" w:rsidRPr="001B11AB" w14:paraId="73D5E78C" w14:textId="77777777" w:rsidTr="007873F4">
        <w:trPr>
          <w:trHeight w:val="283"/>
        </w:trPr>
        <w:tc>
          <w:tcPr>
            <w:tcW w:w="3573" w:type="dxa"/>
            <w:vMerge w:val="restart"/>
          </w:tcPr>
          <w:p w14:paraId="5AA8082B" w14:textId="77777777" w:rsidR="00CE6A58" w:rsidRPr="001B11AB" w:rsidRDefault="00CE6A58"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 xml:space="preserve">Индекс секторске концентрације </w:t>
            </w:r>
          </w:p>
        </w:tc>
        <w:tc>
          <w:tcPr>
            <w:tcW w:w="3544" w:type="dxa"/>
          </w:tcPr>
          <w:p w14:paraId="7B4E316F"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01CB6B09" w14:textId="77777777" w:rsidR="00CE6A58" w:rsidRPr="001B11AB" w:rsidRDefault="00CE6A58"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100%</w:t>
            </w:r>
          </w:p>
        </w:tc>
      </w:tr>
      <w:tr w:rsidR="00CE6A58" w:rsidRPr="001B11AB" w14:paraId="3CBEC82A" w14:textId="77777777" w:rsidTr="007873F4">
        <w:trPr>
          <w:trHeight w:val="283"/>
        </w:trPr>
        <w:tc>
          <w:tcPr>
            <w:tcW w:w="3573" w:type="dxa"/>
            <w:vMerge/>
          </w:tcPr>
          <w:p w14:paraId="7020D74D" w14:textId="77777777" w:rsidR="00CE6A58" w:rsidRPr="001B11AB" w:rsidRDefault="00CE6A58" w:rsidP="00897F23">
            <w:pPr>
              <w:ind w:left="-4"/>
              <w:jc w:val="center"/>
              <w:rPr>
                <w:rFonts w:ascii="Times New Roman" w:hAnsi="Times New Roman" w:cs="Times New Roman"/>
                <w:b/>
                <w:sz w:val="18"/>
                <w:szCs w:val="18"/>
              </w:rPr>
            </w:pPr>
          </w:p>
        </w:tc>
        <w:tc>
          <w:tcPr>
            <w:tcW w:w="3544" w:type="dxa"/>
          </w:tcPr>
          <w:p w14:paraId="36F0960A" w14:textId="77777777" w:rsidR="00CE6A58" w:rsidRPr="001B11AB" w:rsidRDefault="00CE6A58" w:rsidP="00897F23">
            <w:pPr>
              <w:ind w:left="-4"/>
              <w:jc w:val="center"/>
              <w:rPr>
                <w:rFonts w:ascii="Times New Roman" w:hAnsi="Times New Roman" w:cs="Times New Roman"/>
                <w:b/>
                <w:sz w:val="18"/>
                <w:szCs w:val="18"/>
              </w:rPr>
            </w:pPr>
          </w:p>
        </w:tc>
        <w:tc>
          <w:tcPr>
            <w:tcW w:w="2239" w:type="dxa"/>
          </w:tcPr>
          <w:p w14:paraId="46B8DB38" w14:textId="77777777" w:rsidR="00CE6A58" w:rsidRPr="001B11AB" w:rsidRDefault="00CE6A58" w:rsidP="00897F23">
            <w:pPr>
              <w:ind w:left="-4"/>
              <w:jc w:val="center"/>
              <w:rPr>
                <w:rFonts w:ascii="Times New Roman" w:hAnsi="Times New Roman" w:cs="Times New Roman"/>
                <w:b/>
                <w:sz w:val="18"/>
                <w:szCs w:val="18"/>
              </w:rPr>
            </w:pPr>
            <w:r w:rsidRPr="001B11AB">
              <w:rPr>
                <w:rFonts w:ascii="Times New Roman" w:hAnsi="Times New Roman" w:cs="Times New Roman"/>
                <w:b/>
                <w:sz w:val="18"/>
                <w:szCs w:val="18"/>
              </w:rPr>
              <w:t>HHI‚s</w:t>
            </w:r>
          </w:p>
        </w:tc>
      </w:tr>
    </w:tbl>
    <w:p w14:paraId="7E11BE68" w14:textId="77777777" w:rsidR="00CE6A58" w:rsidRPr="001B11AB" w:rsidRDefault="00CE6A58" w:rsidP="00897F23">
      <w:pPr>
        <w:spacing w:after="0" w:line="240" w:lineRule="auto"/>
        <w:ind w:left="-4"/>
        <w:jc w:val="center"/>
        <w:rPr>
          <w:rFonts w:ascii="Times New Roman" w:hAnsi="Times New Roman" w:cs="Times New Roman"/>
          <w:b/>
          <w:sz w:val="18"/>
          <w:szCs w:val="18"/>
        </w:rPr>
      </w:pPr>
    </w:p>
    <w:p w14:paraId="09C2A31B" w14:textId="357F3576" w:rsidR="00CE6A58" w:rsidRPr="00F12B40" w:rsidRDefault="00F12B40" w:rsidP="00F12B40">
      <w:pPr>
        <w:autoSpaceDE w:val="0"/>
        <w:autoSpaceDN w:val="0"/>
        <w:adjustRightInd w:val="0"/>
        <w:spacing w:after="0" w:line="240" w:lineRule="auto"/>
        <w:rPr>
          <w:rFonts w:ascii="Times New Roman" w:hAnsi="Times New Roman" w:cs="Times New Roman"/>
          <w:b/>
        </w:rPr>
      </w:pPr>
      <w:r w:rsidRPr="00F12B40">
        <w:rPr>
          <w:rFonts w:ascii="Times New Roman" w:hAnsi="Times New Roman" w:cs="Times New Roman"/>
          <w:b/>
        </w:rPr>
        <w:t xml:space="preserve">2. </w:t>
      </w:r>
      <w:r w:rsidR="00CE6A58" w:rsidRPr="00F12B40">
        <w:rPr>
          <w:rFonts w:ascii="Times New Roman" w:hAnsi="Times New Roman" w:cs="Times New Roman"/>
          <w:b/>
        </w:rPr>
        <w:t>Индивидуална концентрација</w:t>
      </w:r>
    </w:p>
    <w:p w14:paraId="0AF7F816" w14:textId="233B49C6" w:rsidR="00CE6A58" w:rsidRPr="001B11AB" w:rsidRDefault="00CE6A58" w:rsidP="00897F23">
      <w:pPr>
        <w:autoSpaceDE w:val="0"/>
        <w:autoSpaceDN w:val="0"/>
        <w:adjustRightInd w:val="0"/>
        <w:spacing w:after="120" w:line="240" w:lineRule="auto"/>
        <w:jc w:val="both"/>
        <w:rPr>
          <w:rFonts w:ascii="Times New Roman" w:hAnsi="Times New Roman" w:cs="Times New Roman"/>
          <w:lang w:val="ru-RU"/>
        </w:rPr>
      </w:pPr>
      <w:r w:rsidRPr="001B11AB">
        <w:rPr>
          <w:rFonts w:ascii="Times New Roman" w:hAnsi="Times New Roman" w:cs="Times New Roman"/>
          <w:lang w:val="ru-RU"/>
        </w:rPr>
        <w:t xml:space="preserve">Банка израчунава индекс индивидуалне концентрације </w:t>
      </w:r>
      <w:r w:rsidRPr="001B11AB">
        <w:rPr>
          <w:rFonts w:ascii="Times New Roman" w:hAnsi="Times New Roman" w:cs="Times New Roman"/>
          <w:b/>
          <w:lang w:val="bs-Latn-BA"/>
        </w:rPr>
        <w:t xml:space="preserve">(HHI‚i) </w:t>
      </w:r>
      <w:r w:rsidRPr="001B11AB">
        <w:rPr>
          <w:rFonts w:ascii="Times New Roman" w:hAnsi="Times New Roman" w:cs="Times New Roman"/>
          <w:lang w:val="ru-RU"/>
        </w:rPr>
        <w:t>према 100 највећих дужника или групи повезаних дужника</w:t>
      </w:r>
      <w:r w:rsidR="00EC24BD" w:rsidRPr="001B11AB">
        <w:rPr>
          <w:rFonts w:ascii="Times New Roman" w:hAnsi="Times New Roman" w:cs="Times New Roman"/>
          <w:lang w:val="ru-RU"/>
        </w:rPr>
        <w:t>,</w:t>
      </w:r>
      <w:r w:rsidRPr="001B11AB">
        <w:rPr>
          <w:rFonts w:ascii="Times New Roman" w:hAnsi="Times New Roman" w:cs="Times New Roman"/>
          <w:lang w:val="ru-RU"/>
        </w:rPr>
        <w:t xml:space="preserve"> без обзира на њихов статус</w:t>
      </w:r>
      <w:r w:rsidR="00EC24BD" w:rsidRPr="001B11AB">
        <w:rPr>
          <w:rFonts w:ascii="Times New Roman" w:hAnsi="Times New Roman" w:cs="Times New Roman"/>
          <w:lang w:val="ru-RU"/>
        </w:rPr>
        <w:t>,</w:t>
      </w:r>
      <w:r w:rsidRPr="001B11AB">
        <w:rPr>
          <w:rFonts w:ascii="Times New Roman" w:hAnsi="Times New Roman" w:cs="Times New Roman"/>
          <w:lang w:val="ru-RU"/>
        </w:rPr>
        <w:t xml:space="preserve"> у складу са сљедећом формулом</w:t>
      </w:r>
      <w:r w:rsidRPr="001B11AB">
        <w:rPr>
          <w:rFonts w:ascii="Times New Roman" w:hAnsi="Times New Roman" w:cs="Times New Roman"/>
          <w:lang w:val="bs-Latn-BA"/>
        </w:rPr>
        <w:t>:</w:t>
      </w:r>
    </w:p>
    <w:p w14:paraId="65F51D16" w14:textId="2BEB97E8" w:rsidR="00CE6A58" w:rsidRPr="001B11AB" w:rsidRDefault="00CE6A58" w:rsidP="0078563A">
      <w:pPr>
        <w:autoSpaceDE w:val="0"/>
        <w:autoSpaceDN w:val="0"/>
        <w:adjustRightInd w:val="0"/>
        <w:spacing w:after="120" w:line="240" w:lineRule="auto"/>
        <w:jc w:val="both"/>
        <w:rPr>
          <w:rFonts w:ascii="Times New Roman" w:hAnsi="Times New Roman" w:cs="Times New Roman"/>
          <w:lang w:val="ru-RU"/>
        </w:rPr>
      </w:pPr>
      <w:r w:rsidRPr="001B11AB">
        <w:rPr>
          <w:rFonts w:ascii="Times New Roman" w:hAnsi="Times New Roman" w:cs="Times New Roman"/>
          <w:b/>
          <w:lang w:val="bs-Latn-BA"/>
        </w:rPr>
        <w:t>HHI</w:t>
      </w:r>
      <w:r w:rsidR="00BB434F" w:rsidRPr="001B11AB">
        <w:rPr>
          <w:rFonts w:ascii="Times New Roman" w:hAnsi="Times New Roman" w:cs="Times New Roman"/>
          <w:b/>
          <w:lang w:val="sr-Latn-BA"/>
        </w:rPr>
        <w:t>i</w:t>
      </w:r>
      <w:r w:rsidRPr="001B11AB">
        <w:rPr>
          <w:rFonts w:ascii="Times New Roman" w:hAnsi="Times New Roman" w:cs="Times New Roman"/>
          <w:b/>
          <w:lang w:val="bs-Latn-BA"/>
        </w:rPr>
        <w:t xml:space="preserve"> = Σ xi</w:t>
      </w:r>
      <w:r w:rsidRPr="001B11AB">
        <w:rPr>
          <w:rFonts w:ascii="Times New Roman" w:hAnsi="Times New Roman" w:cs="Times New Roman"/>
          <w:b/>
          <w:vertAlign w:val="superscript"/>
          <w:lang w:val="bs-Latn-BA"/>
        </w:rPr>
        <w:t>2</w:t>
      </w:r>
      <w:r w:rsidRPr="001B11AB">
        <w:rPr>
          <w:rFonts w:ascii="Times New Roman" w:hAnsi="Times New Roman" w:cs="Times New Roman"/>
          <w:b/>
          <w:lang w:val="bs-Latn-BA"/>
        </w:rPr>
        <w:t xml:space="preserve"> / (Σxi)</w:t>
      </w:r>
      <w:r w:rsidRPr="001B11AB">
        <w:rPr>
          <w:rFonts w:ascii="Times New Roman" w:hAnsi="Times New Roman" w:cs="Times New Roman"/>
          <w:b/>
          <w:vertAlign w:val="superscript"/>
          <w:lang w:val="bs-Latn-BA"/>
        </w:rPr>
        <w:t>2</w:t>
      </w:r>
      <w:r w:rsidRPr="001B11AB">
        <w:rPr>
          <w:rFonts w:ascii="Times New Roman" w:hAnsi="Times New Roman" w:cs="Times New Roman"/>
          <w:b/>
          <w:lang w:val="bs-Latn-BA"/>
        </w:rPr>
        <w:t xml:space="preserve"> *Σ xi / Σy * 100</w:t>
      </w:r>
      <w:r w:rsidRPr="001B11AB">
        <w:rPr>
          <w:rFonts w:ascii="Times New Roman" w:hAnsi="Times New Roman" w:cs="Times New Roman"/>
          <w:lang w:val="ru-RU"/>
        </w:rPr>
        <w:t>, при чем</w:t>
      </w:r>
      <w:r w:rsidR="00EC24BD" w:rsidRPr="001B11AB">
        <w:rPr>
          <w:rFonts w:ascii="Times New Roman" w:hAnsi="Times New Roman" w:cs="Times New Roman"/>
          <w:lang w:val="ru-RU"/>
        </w:rPr>
        <w:t>у</w:t>
      </w:r>
      <w:r w:rsidRPr="001B11AB">
        <w:rPr>
          <w:rFonts w:ascii="Times New Roman" w:hAnsi="Times New Roman" w:cs="Times New Roman"/>
          <w:lang w:val="ru-RU"/>
        </w:rPr>
        <w:t xml:space="preserve"> је</w:t>
      </w:r>
      <w:r w:rsidRPr="001B11AB">
        <w:rPr>
          <w:rFonts w:ascii="Times New Roman" w:hAnsi="Times New Roman" w:cs="Times New Roman"/>
          <w:lang w:val="bs-Latn-BA"/>
        </w:rPr>
        <w:t xml:space="preserve"> </w:t>
      </w:r>
      <w:r w:rsidRPr="001B11AB">
        <w:rPr>
          <w:rFonts w:ascii="Times New Roman" w:hAnsi="Times New Roman" w:cs="Times New Roman"/>
          <w:b/>
          <w:lang w:val="bs-Latn-BA"/>
        </w:rPr>
        <w:t>xi</w:t>
      </w:r>
      <w:r w:rsidRPr="001B11AB">
        <w:rPr>
          <w:rFonts w:ascii="Times New Roman" w:hAnsi="Times New Roman" w:cs="Times New Roman"/>
          <w:lang w:val="bs-Latn-BA"/>
        </w:rPr>
        <w:t xml:space="preserve"> </w:t>
      </w:r>
      <w:r w:rsidRPr="001B11AB">
        <w:rPr>
          <w:rFonts w:ascii="Times New Roman" w:hAnsi="Times New Roman" w:cs="Times New Roman"/>
          <w:lang w:val="ru-RU"/>
        </w:rPr>
        <w:t xml:space="preserve">вриједност изложености једног дужника или групе повезаних дужника у портфолију банке </w:t>
      </w:r>
      <w:r w:rsidRPr="001B11AB">
        <w:rPr>
          <w:rFonts w:ascii="Times New Roman" w:hAnsi="Times New Roman" w:cs="Times New Roman"/>
          <w:lang w:val="bs-Latn-BA"/>
        </w:rPr>
        <w:t>(</w:t>
      </w:r>
      <w:r w:rsidRPr="001B11AB">
        <w:rPr>
          <w:rFonts w:ascii="Times New Roman" w:hAnsi="Times New Roman" w:cs="Times New Roman"/>
          <w:lang w:val="ru-RU"/>
        </w:rPr>
        <w:t>укупна изложеност</w:t>
      </w:r>
      <w:r w:rsidRPr="001B11AB">
        <w:rPr>
          <w:rFonts w:ascii="Times New Roman" w:hAnsi="Times New Roman" w:cs="Times New Roman"/>
          <w:lang w:val="bs-Latn-BA"/>
        </w:rPr>
        <w:t xml:space="preserve">), </w:t>
      </w:r>
      <w:r w:rsidRPr="001B11AB">
        <w:rPr>
          <w:rFonts w:ascii="Times New Roman" w:hAnsi="Times New Roman" w:cs="Times New Roman"/>
          <w:b/>
          <w:lang w:val="bs-Latn-BA"/>
        </w:rPr>
        <w:t>y</w:t>
      </w:r>
      <w:r w:rsidRPr="001B11AB">
        <w:rPr>
          <w:rFonts w:ascii="Times New Roman" w:hAnsi="Times New Roman" w:cs="Times New Roman"/>
          <w:lang w:val="bs-Latn-BA"/>
        </w:rPr>
        <w:t xml:space="preserve"> </w:t>
      </w:r>
      <w:r w:rsidRPr="001B11AB">
        <w:rPr>
          <w:rFonts w:ascii="Times New Roman" w:hAnsi="Times New Roman" w:cs="Times New Roman"/>
          <w:lang w:val="ru-RU"/>
        </w:rPr>
        <w:t>је вриједност укупног портфоли</w:t>
      </w:r>
      <w:r w:rsidR="00EC24BD" w:rsidRPr="001B11AB">
        <w:rPr>
          <w:rFonts w:ascii="Times New Roman" w:hAnsi="Times New Roman" w:cs="Times New Roman"/>
          <w:lang w:val="ru-RU"/>
        </w:rPr>
        <w:t>ј</w:t>
      </w:r>
      <w:r w:rsidRPr="001B11AB">
        <w:rPr>
          <w:rFonts w:ascii="Times New Roman" w:hAnsi="Times New Roman" w:cs="Times New Roman"/>
          <w:lang w:val="ru-RU"/>
        </w:rPr>
        <w:t>а банке</w:t>
      </w:r>
      <w:r w:rsidRPr="001B11AB">
        <w:rPr>
          <w:rFonts w:ascii="Times New Roman" w:hAnsi="Times New Roman" w:cs="Times New Roman"/>
          <w:lang w:val="bs-Latn-BA"/>
        </w:rPr>
        <w:t xml:space="preserve">, </w:t>
      </w:r>
      <w:r w:rsidRPr="001B11AB">
        <w:rPr>
          <w:rFonts w:ascii="Times New Roman" w:hAnsi="Times New Roman" w:cs="Times New Roman"/>
          <w:lang w:val="ru-RU"/>
        </w:rPr>
        <w:t>а</w:t>
      </w:r>
      <w:r w:rsidRPr="001B11AB">
        <w:rPr>
          <w:rFonts w:ascii="Times New Roman" w:hAnsi="Times New Roman" w:cs="Times New Roman"/>
          <w:lang w:val="bs-Latn-BA"/>
        </w:rPr>
        <w:t xml:space="preserve"> </w:t>
      </w:r>
      <w:r w:rsidRPr="001B11AB">
        <w:rPr>
          <w:rFonts w:ascii="Times New Roman" w:hAnsi="Times New Roman" w:cs="Times New Roman"/>
          <w:b/>
          <w:lang w:val="bs-Latn-BA"/>
        </w:rPr>
        <w:t>i</w:t>
      </w:r>
      <w:r w:rsidRPr="001B11AB">
        <w:rPr>
          <w:rFonts w:ascii="Times New Roman" w:hAnsi="Times New Roman" w:cs="Times New Roman"/>
          <w:lang w:val="bs-Latn-BA"/>
        </w:rPr>
        <w:t xml:space="preserve"> </w:t>
      </w:r>
      <w:r w:rsidRPr="001B11AB">
        <w:rPr>
          <w:rFonts w:ascii="Times New Roman" w:hAnsi="Times New Roman" w:cs="Times New Roman"/>
          <w:lang w:val="ru-RU"/>
        </w:rPr>
        <w:t>је број клијената за које се рачуна</w:t>
      </w:r>
      <w:r w:rsidRPr="001B11AB">
        <w:rPr>
          <w:rFonts w:ascii="Times New Roman" w:hAnsi="Times New Roman" w:cs="Times New Roman"/>
          <w:lang w:val="bs-Latn-BA"/>
        </w:rPr>
        <w:t xml:space="preserve"> HHI (</w:t>
      </w:r>
      <w:r w:rsidRPr="001B11AB">
        <w:rPr>
          <w:rFonts w:ascii="Times New Roman" w:hAnsi="Times New Roman" w:cs="Times New Roman"/>
          <w:b/>
          <w:lang w:val="bs-Latn-BA"/>
        </w:rPr>
        <w:t>i = 100</w:t>
      </w:r>
      <w:r w:rsidRPr="001B11AB">
        <w:rPr>
          <w:rFonts w:ascii="Times New Roman" w:hAnsi="Times New Roman" w:cs="Times New Roman"/>
          <w:lang w:val="bs-Latn-BA"/>
        </w:rPr>
        <w:t>).</w:t>
      </w:r>
    </w:p>
    <w:p w14:paraId="0769BE92" w14:textId="77777777" w:rsidR="00CE6A58" w:rsidRPr="001B11AB" w:rsidRDefault="00CE6A58" w:rsidP="0078563A">
      <w:pPr>
        <w:autoSpaceDE w:val="0"/>
        <w:autoSpaceDN w:val="0"/>
        <w:adjustRightInd w:val="0"/>
        <w:spacing w:after="120" w:line="240" w:lineRule="auto"/>
        <w:jc w:val="both"/>
        <w:rPr>
          <w:rFonts w:ascii="Times New Roman" w:hAnsi="Times New Roman" w:cs="Times New Roman"/>
          <w:b/>
        </w:rPr>
      </w:pPr>
      <w:r w:rsidRPr="001B11AB">
        <w:rPr>
          <w:rFonts w:ascii="Times New Roman" w:hAnsi="Times New Roman" w:cs="Times New Roman"/>
          <w:b/>
        </w:rPr>
        <w:t>Табела 2.</w:t>
      </w:r>
    </w:p>
    <w:tbl>
      <w:tblPr>
        <w:tblStyle w:val="TableGrid"/>
        <w:tblW w:w="9464" w:type="dxa"/>
        <w:tblLook w:val="04A0" w:firstRow="1" w:lastRow="0" w:firstColumn="1" w:lastColumn="0" w:noHBand="0" w:noVBand="1"/>
      </w:tblPr>
      <w:tblGrid>
        <w:gridCol w:w="3264"/>
        <w:gridCol w:w="3266"/>
        <w:gridCol w:w="2934"/>
      </w:tblGrid>
      <w:tr w:rsidR="005C6636" w:rsidRPr="001B11AB" w14:paraId="600748F3" w14:textId="77777777" w:rsidTr="007873F4">
        <w:trPr>
          <w:trHeight w:val="283"/>
        </w:trPr>
        <w:tc>
          <w:tcPr>
            <w:tcW w:w="3264" w:type="dxa"/>
            <w:tcBorders>
              <w:top w:val="nil"/>
              <w:left w:val="nil"/>
              <w:bottom w:val="single" w:sz="4" w:space="0" w:color="auto"/>
              <w:right w:val="single" w:sz="4" w:space="0" w:color="auto"/>
            </w:tcBorders>
          </w:tcPr>
          <w:p w14:paraId="7EC097E4" w14:textId="77777777" w:rsidR="00CE6A58" w:rsidRPr="001B11AB" w:rsidRDefault="00CE6A58" w:rsidP="00897F23">
            <w:pPr>
              <w:autoSpaceDE w:val="0"/>
              <w:autoSpaceDN w:val="0"/>
              <w:adjustRightInd w:val="0"/>
              <w:jc w:val="center"/>
              <w:rPr>
                <w:rFonts w:ascii="Times New Roman" w:hAnsi="Times New Roman" w:cs="Times New Roman"/>
                <w:sz w:val="20"/>
                <w:szCs w:val="20"/>
                <w:lang w:val="bs-Latn-BA"/>
              </w:rPr>
            </w:pPr>
          </w:p>
        </w:tc>
        <w:tc>
          <w:tcPr>
            <w:tcW w:w="3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FF027" w14:textId="77777777" w:rsidR="00CE6A58" w:rsidRPr="001B11AB" w:rsidRDefault="002C5FE4" w:rsidP="00897F23">
            <w:pPr>
              <w:autoSpaceDE w:val="0"/>
              <w:autoSpaceDN w:val="0"/>
              <w:adjustRightInd w:val="0"/>
              <w:jc w:val="center"/>
              <w:rPr>
                <w:rFonts w:ascii="Times New Roman" w:hAnsi="Times New Roman" w:cs="Times New Roman"/>
                <w:b/>
                <w:sz w:val="20"/>
                <w:szCs w:val="20"/>
              </w:rPr>
            </w:pPr>
            <w:r w:rsidRPr="001B11AB">
              <w:rPr>
                <w:rFonts w:ascii="Times New Roman" w:hAnsi="Times New Roman" w:cs="Times New Roman"/>
                <w:b/>
                <w:sz w:val="20"/>
                <w:szCs w:val="20"/>
              </w:rPr>
              <w:t>Укупни износ изложености</w:t>
            </w:r>
          </w:p>
        </w:tc>
        <w:tc>
          <w:tcPr>
            <w:tcW w:w="2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CD86A" w14:textId="77777777" w:rsidR="00CE6A58" w:rsidRPr="001B11AB" w:rsidRDefault="00CE6A58" w:rsidP="00897F23">
            <w:pPr>
              <w:autoSpaceDE w:val="0"/>
              <w:autoSpaceDN w:val="0"/>
              <w:adjustRightInd w:val="0"/>
              <w:jc w:val="center"/>
              <w:rPr>
                <w:rFonts w:ascii="Times New Roman" w:hAnsi="Times New Roman" w:cs="Times New Roman"/>
                <w:b/>
                <w:sz w:val="20"/>
                <w:szCs w:val="20"/>
              </w:rPr>
            </w:pPr>
            <w:r w:rsidRPr="001B11AB">
              <w:rPr>
                <w:rFonts w:ascii="Times New Roman" w:hAnsi="Times New Roman" w:cs="Times New Roman"/>
                <w:b/>
                <w:sz w:val="20"/>
                <w:szCs w:val="20"/>
                <w:lang w:val="bs-Latn-BA"/>
              </w:rPr>
              <w:t xml:space="preserve">% </w:t>
            </w:r>
            <w:r w:rsidR="002C5FE4" w:rsidRPr="001B11AB">
              <w:rPr>
                <w:rFonts w:ascii="Times New Roman" w:hAnsi="Times New Roman" w:cs="Times New Roman"/>
                <w:b/>
                <w:sz w:val="20"/>
                <w:szCs w:val="20"/>
              </w:rPr>
              <w:t>Изложености</w:t>
            </w:r>
          </w:p>
        </w:tc>
      </w:tr>
      <w:tr w:rsidR="005C6636" w:rsidRPr="001B11AB" w14:paraId="1AAD34D6" w14:textId="77777777" w:rsidTr="007873F4">
        <w:trPr>
          <w:trHeight w:val="283"/>
        </w:trPr>
        <w:tc>
          <w:tcPr>
            <w:tcW w:w="3264" w:type="dxa"/>
            <w:tcBorders>
              <w:top w:val="single" w:sz="4" w:space="0" w:color="auto"/>
              <w:left w:val="single" w:sz="4" w:space="0" w:color="auto"/>
              <w:bottom w:val="single" w:sz="4" w:space="0" w:color="auto"/>
              <w:right w:val="single" w:sz="4" w:space="0" w:color="auto"/>
            </w:tcBorders>
          </w:tcPr>
          <w:p w14:paraId="12868871" w14:textId="77777777" w:rsidR="00CE6A58" w:rsidRPr="001B11AB" w:rsidRDefault="00CE6A58" w:rsidP="00897F23">
            <w:pPr>
              <w:autoSpaceDE w:val="0"/>
              <w:autoSpaceDN w:val="0"/>
              <w:adjustRightInd w:val="0"/>
              <w:jc w:val="both"/>
              <w:rPr>
                <w:rFonts w:ascii="Times New Roman" w:hAnsi="Times New Roman" w:cs="Times New Roman"/>
                <w:sz w:val="20"/>
                <w:szCs w:val="20"/>
              </w:rPr>
            </w:pPr>
            <w:r w:rsidRPr="001B11AB">
              <w:rPr>
                <w:rFonts w:ascii="Times New Roman" w:hAnsi="Times New Roman" w:cs="Times New Roman"/>
                <w:sz w:val="20"/>
                <w:szCs w:val="20"/>
              </w:rPr>
              <w:t>Укупна изложеност</w:t>
            </w:r>
          </w:p>
        </w:tc>
        <w:tc>
          <w:tcPr>
            <w:tcW w:w="3266" w:type="dxa"/>
            <w:tcBorders>
              <w:top w:val="single" w:sz="4" w:space="0" w:color="auto"/>
              <w:left w:val="single" w:sz="4" w:space="0" w:color="auto"/>
            </w:tcBorders>
          </w:tcPr>
          <w:p w14:paraId="4E2D1BAF" w14:textId="77777777" w:rsidR="00CE6A58" w:rsidRPr="001B11AB" w:rsidRDefault="00CE6A58" w:rsidP="00897F23">
            <w:pPr>
              <w:autoSpaceDE w:val="0"/>
              <w:autoSpaceDN w:val="0"/>
              <w:adjustRightInd w:val="0"/>
              <w:jc w:val="center"/>
              <w:rPr>
                <w:rFonts w:ascii="Times New Roman" w:hAnsi="Times New Roman" w:cs="Times New Roman"/>
                <w:sz w:val="20"/>
                <w:szCs w:val="20"/>
                <w:lang w:val="bs-Latn-BA"/>
              </w:rPr>
            </w:pPr>
            <w:r w:rsidRPr="001B11AB">
              <w:rPr>
                <w:rFonts w:ascii="Times New Roman" w:hAnsi="Times New Roman" w:cs="Times New Roman"/>
                <w:sz w:val="20"/>
                <w:szCs w:val="20"/>
                <w:lang w:val="bs-Latn-BA"/>
              </w:rPr>
              <w:t>Σ y</w:t>
            </w:r>
          </w:p>
        </w:tc>
        <w:tc>
          <w:tcPr>
            <w:tcW w:w="2934" w:type="dxa"/>
            <w:tcBorders>
              <w:top w:val="single" w:sz="4" w:space="0" w:color="auto"/>
            </w:tcBorders>
          </w:tcPr>
          <w:p w14:paraId="338BF11A" w14:textId="77777777" w:rsidR="00CE6A58" w:rsidRPr="001B11AB" w:rsidRDefault="00CE6A58" w:rsidP="00897F23">
            <w:pPr>
              <w:autoSpaceDE w:val="0"/>
              <w:autoSpaceDN w:val="0"/>
              <w:adjustRightInd w:val="0"/>
              <w:jc w:val="center"/>
              <w:rPr>
                <w:rFonts w:ascii="Times New Roman" w:hAnsi="Times New Roman" w:cs="Times New Roman"/>
                <w:sz w:val="20"/>
                <w:szCs w:val="20"/>
                <w:lang w:val="bs-Latn-BA"/>
              </w:rPr>
            </w:pPr>
            <w:r w:rsidRPr="001B11AB">
              <w:rPr>
                <w:rFonts w:ascii="Times New Roman" w:hAnsi="Times New Roman" w:cs="Times New Roman"/>
                <w:sz w:val="20"/>
                <w:szCs w:val="20"/>
                <w:lang w:val="bs-Latn-BA"/>
              </w:rPr>
              <w:t>100</w:t>
            </w:r>
          </w:p>
        </w:tc>
      </w:tr>
      <w:tr w:rsidR="005C6636" w:rsidRPr="001B11AB" w14:paraId="0C79B9CE" w14:textId="77777777" w:rsidTr="007873F4">
        <w:trPr>
          <w:trHeight w:val="283"/>
        </w:trPr>
        <w:tc>
          <w:tcPr>
            <w:tcW w:w="3264" w:type="dxa"/>
            <w:tcBorders>
              <w:top w:val="single" w:sz="4" w:space="0" w:color="auto"/>
              <w:left w:val="single" w:sz="4" w:space="0" w:color="auto"/>
              <w:bottom w:val="single" w:sz="4" w:space="0" w:color="auto"/>
              <w:right w:val="single" w:sz="4" w:space="0" w:color="auto"/>
            </w:tcBorders>
          </w:tcPr>
          <w:p w14:paraId="01D0A6AD" w14:textId="77777777" w:rsidR="00CE6A58" w:rsidRPr="001B11AB" w:rsidRDefault="00CE6A58" w:rsidP="00897F23">
            <w:pPr>
              <w:autoSpaceDE w:val="0"/>
              <w:autoSpaceDN w:val="0"/>
              <w:adjustRightInd w:val="0"/>
              <w:jc w:val="both"/>
              <w:rPr>
                <w:rFonts w:ascii="Times New Roman" w:hAnsi="Times New Roman" w:cs="Times New Roman"/>
                <w:sz w:val="20"/>
                <w:szCs w:val="20"/>
              </w:rPr>
            </w:pPr>
            <w:r w:rsidRPr="001B11AB">
              <w:rPr>
                <w:rFonts w:ascii="Times New Roman" w:hAnsi="Times New Roman" w:cs="Times New Roman"/>
                <w:sz w:val="20"/>
                <w:szCs w:val="20"/>
                <w:lang w:val="bs-Latn-BA"/>
              </w:rPr>
              <w:t xml:space="preserve">100 </w:t>
            </w:r>
            <w:r w:rsidRPr="001B11AB">
              <w:rPr>
                <w:rFonts w:ascii="Times New Roman" w:hAnsi="Times New Roman" w:cs="Times New Roman"/>
                <w:sz w:val="20"/>
                <w:szCs w:val="20"/>
              </w:rPr>
              <w:t>највећих дужника</w:t>
            </w:r>
          </w:p>
        </w:tc>
        <w:tc>
          <w:tcPr>
            <w:tcW w:w="3266" w:type="dxa"/>
            <w:tcBorders>
              <w:left w:val="single" w:sz="4" w:space="0" w:color="auto"/>
            </w:tcBorders>
          </w:tcPr>
          <w:p w14:paraId="3C96DF6A" w14:textId="77777777" w:rsidR="00CE6A58" w:rsidRPr="001B11AB" w:rsidRDefault="00CE6A58" w:rsidP="00897F23">
            <w:pPr>
              <w:autoSpaceDE w:val="0"/>
              <w:autoSpaceDN w:val="0"/>
              <w:adjustRightInd w:val="0"/>
              <w:jc w:val="center"/>
              <w:rPr>
                <w:rFonts w:ascii="Times New Roman" w:hAnsi="Times New Roman" w:cs="Times New Roman"/>
                <w:sz w:val="20"/>
                <w:szCs w:val="20"/>
                <w:lang w:val="bs-Latn-BA"/>
              </w:rPr>
            </w:pPr>
            <w:r w:rsidRPr="001B11AB">
              <w:rPr>
                <w:rFonts w:ascii="Times New Roman" w:hAnsi="Times New Roman" w:cs="Times New Roman"/>
                <w:sz w:val="20"/>
                <w:szCs w:val="20"/>
                <w:lang w:val="bs-Latn-BA"/>
              </w:rPr>
              <w:t>Σ x</w:t>
            </w:r>
          </w:p>
        </w:tc>
        <w:tc>
          <w:tcPr>
            <w:tcW w:w="2934" w:type="dxa"/>
          </w:tcPr>
          <w:p w14:paraId="0305B191" w14:textId="77777777" w:rsidR="00CE6A58" w:rsidRPr="001B11AB" w:rsidRDefault="00CE6A58" w:rsidP="00897F23">
            <w:pPr>
              <w:autoSpaceDE w:val="0"/>
              <w:autoSpaceDN w:val="0"/>
              <w:adjustRightInd w:val="0"/>
              <w:jc w:val="center"/>
              <w:rPr>
                <w:rFonts w:ascii="Times New Roman" w:hAnsi="Times New Roman" w:cs="Times New Roman"/>
                <w:sz w:val="20"/>
                <w:szCs w:val="20"/>
                <w:lang w:val="bs-Latn-BA"/>
              </w:rPr>
            </w:pPr>
          </w:p>
        </w:tc>
      </w:tr>
      <w:tr w:rsidR="00CE6A58" w:rsidRPr="001B11AB" w14:paraId="23BC3114" w14:textId="77777777" w:rsidTr="007873F4">
        <w:trPr>
          <w:trHeight w:val="397"/>
        </w:trPr>
        <w:tc>
          <w:tcPr>
            <w:tcW w:w="3264" w:type="dxa"/>
            <w:tcBorders>
              <w:top w:val="single" w:sz="4" w:space="0" w:color="auto"/>
              <w:left w:val="single" w:sz="4" w:space="0" w:color="auto"/>
              <w:bottom w:val="single" w:sz="4" w:space="0" w:color="auto"/>
              <w:right w:val="single" w:sz="4" w:space="0" w:color="auto"/>
            </w:tcBorders>
          </w:tcPr>
          <w:p w14:paraId="34D9DB2C" w14:textId="77777777" w:rsidR="00CE6A58" w:rsidRPr="001B11AB" w:rsidRDefault="00CE6A58" w:rsidP="00897F23">
            <w:pPr>
              <w:autoSpaceDE w:val="0"/>
              <w:autoSpaceDN w:val="0"/>
              <w:adjustRightInd w:val="0"/>
              <w:rPr>
                <w:rFonts w:ascii="Times New Roman" w:hAnsi="Times New Roman" w:cs="Times New Roman"/>
                <w:sz w:val="20"/>
                <w:szCs w:val="20"/>
              </w:rPr>
            </w:pPr>
            <w:r w:rsidRPr="001B11AB">
              <w:rPr>
                <w:rFonts w:ascii="Times New Roman" w:hAnsi="Times New Roman" w:cs="Times New Roman"/>
                <w:sz w:val="20"/>
                <w:szCs w:val="20"/>
              </w:rPr>
              <w:t>Индекс индивидуалне концентрације</w:t>
            </w:r>
          </w:p>
        </w:tc>
        <w:tc>
          <w:tcPr>
            <w:tcW w:w="3266" w:type="dxa"/>
            <w:tcBorders>
              <w:left w:val="single" w:sz="4" w:space="0" w:color="auto"/>
            </w:tcBorders>
          </w:tcPr>
          <w:p w14:paraId="24B9EE75" w14:textId="77777777" w:rsidR="00CE6A58" w:rsidRPr="001B11AB" w:rsidRDefault="00CE6A58" w:rsidP="00897F23">
            <w:pPr>
              <w:autoSpaceDE w:val="0"/>
              <w:autoSpaceDN w:val="0"/>
              <w:adjustRightInd w:val="0"/>
              <w:jc w:val="both"/>
              <w:rPr>
                <w:rFonts w:ascii="Times New Roman" w:hAnsi="Times New Roman" w:cs="Times New Roman"/>
                <w:sz w:val="20"/>
                <w:szCs w:val="20"/>
                <w:lang w:val="bs-Latn-BA"/>
              </w:rPr>
            </w:pPr>
          </w:p>
        </w:tc>
        <w:tc>
          <w:tcPr>
            <w:tcW w:w="2934" w:type="dxa"/>
          </w:tcPr>
          <w:p w14:paraId="0BFDD40A" w14:textId="77777777" w:rsidR="00CE6A58" w:rsidRPr="001B11AB" w:rsidRDefault="00CE6A58" w:rsidP="00897F23">
            <w:pPr>
              <w:autoSpaceDE w:val="0"/>
              <w:autoSpaceDN w:val="0"/>
              <w:adjustRightInd w:val="0"/>
              <w:jc w:val="center"/>
              <w:rPr>
                <w:rFonts w:ascii="Times New Roman" w:hAnsi="Times New Roman" w:cs="Times New Roman"/>
                <w:sz w:val="20"/>
                <w:szCs w:val="20"/>
                <w:lang w:val="bs-Latn-BA"/>
              </w:rPr>
            </w:pPr>
            <w:r w:rsidRPr="001B11AB">
              <w:rPr>
                <w:rFonts w:ascii="Times New Roman" w:hAnsi="Times New Roman" w:cs="Times New Roman"/>
                <w:sz w:val="20"/>
                <w:szCs w:val="20"/>
                <w:lang w:val="bs-Latn-BA"/>
              </w:rPr>
              <w:t>HHI</w:t>
            </w:r>
            <w:r w:rsidR="00BB434F" w:rsidRPr="001B11AB">
              <w:rPr>
                <w:rFonts w:ascii="Times New Roman" w:hAnsi="Times New Roman" w:cs="Times New Roman"/>
                <w:sz w:val="20"/>
                <w:szCs w:val="20"/>
                <w:lang w:val="bs-Latn-BA"/>
              </w:rPr>
              <w:t>i</w:t>
            </w:r>
          </w:p>
        </w:tc>
      </w:tr>
    </w:tbl>
    <w:p w14:paraId="05B39942" w14:textId="77777777" w:rsidR="00CE6A58" w:rsidRPr="001B11AB" w:rsidRDefault="00CE6A58" w:rsidP="00897F23">
      <w:pPr>
        <w:autoSpaceDE w:val="0"/>
        <w:autoSpaceDN w:val="0"/>
        <w:adjustRightInd w:val="0"/>
        <w:spacing w:after="0" w:line="240" w:lineRule="auto"/>
        <w:jc w:val="both"/>
        <w:rPr>
          <w:rFonts w:ascii="Times New Roman" w:hAnsi="Times New Roman" w:cs="Times New Roman"/>
          <w:lang w:val="bs-Latn-BA"/>
        </w:rPr>
      </w:pPr>
    </w:p>
    <w:p w14:paraId="560B31A9" w14:textId="72FE9C2C" w:rsidR="00CE6A58" w:rsidRPr="00F12B40" w:rsidRDefault="00F12B40" w:rsidP="00F12B40">
      <w:pPr>
        <w:autoSpaceDE w:val="0"/>
        <w:autoSpaceDN w:val="0"/>
        <w:adjustRightInd w:val="0"/>
        <w:spacing w:after="0" w:line="240" w:lineRule="auto"/>
        <w:ind w:left="284" w:hanging="284"/>
        <w:jc w:val="both"/>
        <w:rPr>
          <w:rFonts w:ascii="Times New Roman" w:hAnsi="Times New Roman" w:cs="Times New Roman"/>
          <w:b/>
          <w:lang w:val="ru-RU"/>
        </w:rPr>
      </w:pPr>
      <w:r w:rsidRPr="00F12B40">
        <w:rPr>
          <w:rFonts w:ascii="Times New Roman" w:hAnsi="Times New Roman" w:cs="Times New Roman"/>
          <w:b/>
          <w:lang w:val="sr-Latn-BA"/>
        </w:rPr>
        <w:t xml:space="preserve">3. </w:t>
      </w:r>
      <w:r w:rsidR="00CE6A58" w:rsidRPr="00F12B40">
        <w:rPr>
          <w:rFonts w:ascii="Times New Roman" w:hAnsi="Times New Roman" w:cs="Times New Roman"/>
          <w:b/>
          <w:lang w:val="ru-RU"/>
        </w:rPr>
        <w:t>Додатак за повећање интерних капиталних захтјева за кредитни ризик по основу ризика концентрације</w:t>
      </w:r>
    </w:p>
    <w:p w14:paraId="067CF6D4" w14:textId="77777777" w:rsidR="00CE6A58" w:rsidRPr="001B11AB" w:rsidRDefault="00CE6A58" w:rsidP="0078563A">
      <w:pPr>
        <w:autoSpaceDE w:val="0"/>
        <w:autoSpaceDN w:val="0"/>
        <w:adjustRightInd w:val="0"/>
        <w:spacing w:after="120" w:line="240" w:lineRule="auto"/>
        <w:jc w:val="both"/>
        <w:rPr>
          <w:rFonts w:ascii="Times New Roman" w:hAnsi="Times New Roman" w:cs="Times New Roman"/>
          <w:b/>
        </w:rPr>
      </w:pPr>
      <w:r w:rsidRPr="001B11AB">
        <w:rPr>
          <w:rFonts w:ascii="Times New Roman" w:hAnsi="Times New Roman" w:cs="Times New Roman"/>
          <w:b/>
        </w:rPr>
        <w:t xml:space="preserve">Табела 3. </w:t>
      </w:r>
    </w:p>
    <w:tbl>
      <w:tblPr>
        <w:tblStyle w:val="TableGrid"/>
        <w:tblW w:w="8900" w:type="dxa"/>
        <w:tblInd w:w="426" w:type="dxa"/>
        <w:tblLook w:val="04A0" w:firstRow="1" w:lastRow="0" w:firstColumn="1" w:lastColumn="0" w:noHBand="0" w:noVBand="1"/>
      </w:tblPr>
      <w:tblGrid>
        <w:gridCol w:w="4535"/>
        <w:gridCol w:w="4365"/>
      </w:tblGrid>
      <w:tr w:rsidR="005C6636" w:rsidRPr="001B11AB" w14:paraId="1C5D889B" w14:textId="77777777" w:rsidTr="00F9406A">
        <w:trPr>
          <w:trHeight w:val="340"/>
        </w:trPr>
        <w:tc>
          <w:tcPr>
            <w:tcW w:w="4535" w:type="dxa"/>
            <w:shd w:val="clear" w:color="auto" w:fill="F2F2F2" w:themeFill="background1" w:themeFillShade="F2"/>
          </w:tcPr>
          <w:p w14:paraId="0315D752" w14:textId="77777777" w:rsidR="00CE6A58" w:rsidRPr="001B11AB" w:rsidRDefault="00CE6A58" w:rsidP="00897F23">
            <w:pPr>
              <w:pStyle w:val="ListParagraph"/>
              <w:autoSpaceDE w:val="0"/>
              <w:autoSpaceDN w:val="0"/>
              <w:adjustRightInd w:val="0"/>
              <w:spacing w:after="120"/>
              <w:ind w:left="0"/>
              <w:contextualSpacing w:val="0"/>
              <w:jc w:val="center"/>
              <w:rPr>
                <w:rFonts w:ascii="Times New Roman" w:hAnsi="Times New Roman" w:cs="Times New Roman"/>
                <w:b/>
                <w:sz w:val="20"/>
                <w:szCs w:val="20"/>
              </w:rPr>
            </w:pPr>
            <w:r w:rsidRPr="001B11AB">
              <w:rPr>
                <w:rFonts w:ascii="Times New Roman" w:hAnsi="Times New Roman" w:cs="Times New Roman"/>
                <w:b/>
                <w:sz w:val="20"/>
                <w:szCs w:val="20"/>
              </w:rPr>
              <w:t>Индекс секторске концентрације</w:t>
            </w:r>
          </w:p>
        </w:tc>
        <w:tc>
          <w:tcPr>
            <w:tcW w:w="4365" w:type="dxa"/>
            <w:shd w:val="clear" w:color="auto" w:fill="F2F2F2" w:themeFill="background1" w:themeFillShade="F2"/>
          </w:tcPr>
          <w:p w14:paraId="77F21005" w14:textId="77777777" w:rsidR="00CE6A58" w:rsidRPr="001B11AB" w:rsidRDefault="00CE6A58" w:rsidP="00897F23">
            <w:pPr>
              <w:pStyle w:val="ListParagraph"/>
              <w:autoSpaceDE w:val="0"/>
              <w:autoSpaceDN w:val="0"/>
              <w:adjustRightInd w:val="0"/>
              <w:spacing w:after="120"/>
              <w:ind w:left="0"/>
              <w:contextualSpacing w:val="0"/>
              <w:jc w:val="center"/>
              <w:rPr>
                <w:rFonts w:ascii="Times New Roman" w:hAnsi="Times New Roman" w:cs="Times New Roman"/>
                <w:b/>
                <w:sz w:val="20"/>
                <w:szCs w:val="20"/>
              </w:rPr>
            </w:pPr>
            <w:r w:rsidRPr="001B11AB">
              <w:rPr>
                <w:rFonts w:ascii="Times New Roman" w:hAnsi="Times New Roman" w:cs="Times New Roman"/>
                <w:b/>
                <w:sz w:val="20"/>
                <w:szCs w:val="20"/>
              </w:rPr>
              <w:t>Додатак</w:t>
            </w:r>
            <w:r w:rsidRPr="001B11AB">
              <w:rPr>
                <w:rFonts w:ascii="Times New Roman" w:hAnsi="Times New Roman" w:cs="Times New Roman"/>
                <w:b/>
                <w:sz w:val="20"/>
                <w:szCs w:val="20"/>
                <w:lang w:val="bs-Latn-BA"/>
              </w:rPr>
              <w:t xml:space="preserve"> %</w:t>
            </w:r>
          </w:p>
        </w:tc>
      </w:tr>
      <w:tr w:rsidR="005C6636" w:rsidRPr="001B11AB" w14:paraId="52D855F3" w14:textId="77777777" w:rsidTr="00F9406A">
        <w:trPr>
          <w:trHeight w:val="227"/>
        </w:trPr>
        <w:tc>
          <w:tcPr>
            <w:tcW w:w="4535" w:type="dxa"/>
          </w:tcPr>
          <w:p w14:paraId="4B4E655E" w14:textId="77777777" w:rsidR="00CE6A58" w:rsidRPr="001B11AB" w:rsidRDefault="00CE6A58" w:rsidP="00897F23">
            <w:pPr>
              <w:pStyle w:val="ListParagraph"/>
              <w:autoSpaceDE w:val="0"/>
              <w:autoSpaceDN w:val="0"/>
              <w:adjustRightInd w:val="0"/>
              <w:ind w:left="0"/>
              <w:contextualSpacing w:val="0"/>
              <w:jc w:val="both"/>
              <w:rPr>
                <w:rFonts w:ascii="Times New Roman" w:hAnsi="Times New Roman" w:cs="Times New Roman"/>
                <w:b/>
                <w:sz w:val="20"/>
                <w:szCs w:val="20"/>
              </w:rPr>
            </w:pPr>
            <w:r w:rsidRPr="001B11AB">
              <w:rPr>
                <w:rFonts w:ascii="Times New Roman" w:hAnsi="Times New Roman" w:cs="Times New Roman"/>
                <w:sz w:val="20"/>
                <w:szCs w:val="20"/>
                <w:lang w:val="bs-Latn-BA"/>
              </w:rPr>
              <w:t>0 &lt; HHIS ≤ 10</w:t>
            </w:r>
          </w:p>
        </w:tc>
        <w:tc>
          <w:tcPr>
            <w:tcW w:w="4365" w:type="dxa"/>
          </w:tcPr>
          <w:p w14:paraId="1993B6CB" w14:textId="77777777" w:rsidR="00CE6A58" w:rsidRPr="001B11AB" w:rsidRDefault="00CE6A58" w:rsidP="00897F23">
            <w:pPr>
              <w:pStyle w:val="ListParagraph"/>
              <w:autoSpaceDE w:val="0"/>
              <w:autoSpaceDN w:val="0"/>
              <w:adjustRightInd w:val="0"/>
              <w:ind w:left="0"/>
              <w:contextualSpacing w:val="0"/>
              <w:jc w:val="center"/>
              <w:rPr>
                <w:rFonts w:ascii="Times New Roman" w:hAnsi="Times New Roman" w:cs="Times New Roman"/>
                <w:b/>
                <w:sz w:val="20"/>
                <w:szCs w:val="20"/>
              </w:rPr>
            </w:pPr>
            <w:r w:rsidRPr="001B11AB">
              <w:rPr>
                <w:rFonts w:ascii="Times New Roman" w:hAnsi="Times New Roman" w:cs="Times New Roman"/>
                <w:sz w:val="20"/>
                <w:szCs w:val="20"/>
              </w:rPr>
              <w:t>0</w:t>
            </w:r>
          </w:p>
        </w:tc>
      </w:tr>
      <w:tr w:rsidR="005C6636" w:rsidRPr="001B11AB" w14:paraId="469558A0" w14:textId="77777777" w:rsidTr="00F9406A">
        <w:trPr>
          <w:trHeight w:val="227"/>
        </w:trPr>
        <w:tc>
          <w:tcPr>
            <w:tcW w:w="4535" w:type="dxa"/>
          </w:tcPr>
          <w:p w14:paraId="50661AB3" w14:textId="77777777" w:rsidR="00CE6A58" w:rsidRPr="001B11AB" w:rsidRDefault="00CE6A58" w:rsidP="00897F23">
            <w:pPr>
              <w:pStyle w:val="ListParagraph"/>
              <w:autoSpaceDE w:val="0"/>
              <w:autoSpaceDN w:val="0"/>
              <w:adjustRightInd w:val="0"/>
              <w:ind w:left="0"/>
              <w:contextualSpacing w:val="0"/>
              <w:jc w:val="both"/>
              <w:rPr>
                <w:rFonts w:ascii="Times New Roman" w:hAnsi="Times New Roman" w:cs="Times New Roman"/>
                <w:b/>
                <w:sz w:val="20"/>
                <w:szCs w:val="20"/>
              </w:rPr>
            </w:pPr>
            <w:r w:rsidRPr="001B11AB">
              <w:rPr>
                <w:rFonts w:ascii="Times New Roman" w:hAnsi="Times New Roman" w:cs="Times New Roman"/>
                <w:sz w:val="20"/>
                <w:szCs w:val="20"/>
                <w:lang w:val="bs-Latn-BA"/>
              </w:rPr>
              <w:t>10 &lt; HHIS ≤ 15</w:t>
            </w:r>
          </w:p>
        </w:tc>
        <w:tc>
          <w:tcPr>
            <w:tcW w:w="4365" w:type="dxa"/>
          </w:tcPr>
          <w:p w14:paraId="781B338B" w14:textId="77777777" w:rsidR="00CE6A58" w:rsidRPr="001B11AB" w:rsidRDefault="00CE6A58" w:rsidP="00897F23">
            <w:pPr>
              <w:pStyle w:val="ListParagraph"/>
              <w:autoSpaceDE w:val="0"/>
              <w:autoSpaceDN w:val="0"/>
              <w:adjustRightInd w:val="0"/>
              <w:ind w:left="0"/>
              <w:contextualSpacing w:val="0"/>
              <w:jc w:val="center"/>
              <w:rPr>
                <w:rFonts w:ascii="Times New Roman" w:hAnsi="Times New Roman" w:cs="Times New Roman"/>
                <w:b/>
                <w:sz w:val="20"/>
                <w:szCs w:val="20"/>
              </w:rPr>
            </w:pPr>
            <w:r w:rsidRPr="001B11AB">
              <w:rPr>
                <w:rFonts w:ascii="Times New Roman" w:hAnsi="Times New Roman" w:cs="Times New Roman"/>
                <w:sz w:val="20"/>
                <w:szCs w:val="20"/>
                <w:lang w:val="bs-Latn-BA"/>
              </w:rPr>
              <w:t>2</w:t>
            </w:r>
          </w:p>
        </w:tc>
      </w:tr>
      <w:tr w:rsidR="005C6636" w:rsidRPr="001B11AB" w14:paraId="3498D991" w14:textId="77777777" w:rsidTr="00F9406A">
        <w:trPr>
          <w:trHeight w:val="227"/>
        </w:trPr>
        <w:tc>
          <w:tcPr>
            <w:tcW w:w="4535" w:type="dxa"/>
          </w:tcPr>
          <w:p w14:paraId="6A75D926" w14:textId="77777777" w:rsidR="00CE6A58" w:rsidRPr="001B11AB" w:rsidRDefault="00CE6A58" w:rsidP="00897F23">
            <w:pPr>
              <w:pStyle w:val="ListParagraph"/>
              <w:autoSpaceDE w:val="0"/>
              <w:autoSpaceDN w:val="0"/>
              <w:adjustRightInd w:val="0"/>
              <w:ind w:left="0"/>
              <w:contextualSpacing w:val="0"/>
              <w:jc w:val="both"/>
              <w:rPr>
                <w:rFonts w:ascii="Times New Roman" w:hAnsi="Times New Roman" w:cs="Times New Roman"/>
                <w:b/>
                <w:sz w:val="20"/>
                <w:szCs w:val="20"/>
              </w:rPr>
            </w:pPr>
            <w:r w:rsidRPr="001B11AB">
              <w:rPr>
                <w:rFonts w:ascii="Times New Roman" w:hAnsi="Times New Roman" w:cs="Times New Roman"/>
                <w:sz w:val="20"/>
                <w:szCs w:val="20"/>
                <w:lang w:val="bs-Latn-BA"/>
              </w:rPr>
              <w:t>15 &lt; HHIS ≤ 20</w:t>
            </w:r>
          </w:p>
        </w:tc>
        <w:tc>
          <w:tcPr>
            <w:tcW w:w="4365" w:type="dxa"/>
          </w:tcPr>
          <w:p w14:paraId="46187DA4" w14:textId="77777777" w:rsidR="00CE6A58" w:rsidRPr="001B11AB" w:rsidRDefault="00CE6A58" w:rsidP="00897F23">
            <w:pPr>
              <w:pStyle w:val="ListParagraph"/>
              <w:autoSpaceDE w:val="0"/>
              <w:autoSpaceDN w:val="0"/>
              <w:adjustRightInd w:val="0"/>
              <w:ind w:left="0"/>
              <w:contextualSpacing w:val="0"/>
              <w:jc w:val="center"/>
              <w:rPr>
                <w:rFonts w:ascii="Times New Roman" w:hAnsi="Times New Roman" w:cs="Times New Roman"/>
                <w:b/>
                <w:sz w:val="20"/>
                <w:szCs w:val="20"/>
              </w:rPr>
            </w:pPr>
            <w:r w:rsidRPr="001B11AB">
              <w:rPr>
                <w:rFonts w:ascii="Times New Roman" w:hAnsi="Times New Roman" w:cs="Times New Roman"/>
                <w:sz w:val="20"/>
                <w:szCs w:val="20"/>
                <w:lang w:val="bs-Latn-BA"/>
              </w:rPr>
              <w:t>4</w:t>
            </w:r>
          </w:p>
        </w:tc>
      </w:tr>
      <w:tr w:rsidR="005C6636" w:rsidRPr="001B11AB" w14:paraId="0D632C36" w14:textId="77777777" w:rsidTr="00F9406A">
        <w:trPr>
          <w:trHeight w:val="227"/>
        </w:trPr>
        <w:tc>
          <w:tcPr>
            <w:tcW w:w="4535" w:type="dxa"/>
          </w:tcPr>
          <w:p w14:paraId="66DF531C" w14:textId="77777777" w:rsidR="00CE6A58" w:rsidRPr="001B11AB" w:rsidRDefault="00CE6A58" w:rsidP="00897F23">
            <w:pPr>
              <w:pStyle w:val="ListParagraph"/>
              <w:autoSpaceDE w:val="0"/>
              <w:autoSpaceDN w:val="0"/>
              <w:adjustRightInd w:val="0"/>
              <w:ind w:left="0"/>
              <w:contextualSpacing w:val="0"/>
              <w:jc w:val="both"/>
              <w:rPr>
                <w:rFonts w:ascii="Times New Roman" w:hAnsi="Times New Roman" w:cs="Times New Roman"/>
                <w:b/>
                <w:sz w:val="20"/>
                <w:szCs w:val="20"/>
              </w:rPr>
            </w:pPr>
            <w:r w:rsidRPr="001B11AB">
              <w:rPr>
                <w:rFonts w:ascii="Times New Roman" w:hAnsi="Times New Roman" w:cs="Times New Roman"/>
                <w:sz w:val="20"/>
                <w:szCs w:val="20"/>
                <w:lang w:val="bs-Latn-BA"/>
              </w:rPr>
              <w:t>20 &lt; HHIS ≤ 25</w:t>
            </w:r>
          </w:p>
        </w:tc>
        <w:tc>
          <w:tcPr>
            <w:tcW w:w="4365" w:type="dxa"/>
          </w:tcPr>
          <w:p w14:paraId="2084454C" w14:textId="77777777" w:rsidR="00CE6A58" w:rsidRPr="001B11AB" w:rsidRDefault="00CE6A58" w:rsidP="00897F23">
            <w:pPr>
              <w:pStyle w:val="ListParagraph"/>
              <w:autoSpaceDE w:val="0"/>
              <w:autoSpaceDN w:val="0"/>
              <w:adjustRightInd w:val="0"/>
              <w:ind w:left="0"/>
              <w:contextualSpacing w:val="0"/>
              <w:jc w:val="center"/>
              <w:rPr>
                <w:rFonts w:ascii="Times New Roman" w:hAnsi="Times New Roman" w:cs="Times New Roman"/>
                <w:b/>
                <w:sz w:val="20"/>
                <w:szCs w:val="20"/>
              </w:rPr>
            </w:pPr>
            <w:r w:rsidRPr="001B11AB">
              <w:rPr>
                <w:rFonts w:ascii="Times New Roman" w:hAnsi="Times New Roman" w:cs="Times New Roman"/>
                <w:sz w:val="20"/>
                <w:szCs w:val="20"/>
                <w:lang w:val="bs-Latn-BA"/>
              </w:rPr>
              <w:t>6</w:t>
            </w:r>
          </w:p>
        </w:tc>
      </w:tr>
      <w:tr w:rsidR="00CE6A58" w:rsidRPr="001B11AB" w14:paraId="76849939" w14:textId="77777777" w:rsidTr="00F9406A">
        <w:trPr>
          <w:trHeight w:val="227"/>
        </w:trPr>
        <w:tc>
          <w:tcPr>
            <w:tcW w:w="4535" w:type="dxa"/>
          </w:tcPr>
          <w:p w14:paraId="30A3BE8D" w14:textId="77777777" w:rsidR="00CE6A58" w:rsidRPr="001B11AB" w:rsidRDefault="00CE6A58" w:rsidP="007873F4">
            <w:pPr>
              <w:pStyle w:val="ListParagraph"/>
              <w:autoSpaceDE w:val="0"/>
              <w:autoSpaceDN w:val="0"/>
              <w:adjustRightInd w:val="0"/>
              <w:ind w:left="0"/>
              <w:contextualSpacing w:val="0"/>
              <w:jc w:val="both"/>
              <w:rPr>
                <w:rFonts w:ascii="Times New Roman" w:hAnsi="Times New Roman" w:cs="Times New Roman"/>
                <w:b/>
                <w:sz w:val="20"/>
                <w:szCs w:val="20"/>
              </w:rPr>
            </w:pPr>
            <w:r w:rsidRPr="001B11AB">
              <w:rPr>
                <w:rFonts w:ascii="Times New Roman" w:hAnsi="Times New Roman" w:cs="Times New Roman"/>
                <w:sz w:val="20"/>
                <w:szCs w:val="20"/>
                <w:lang w:val="bs-Latn-BA"/>
              </w:rPr>
              <w:t>25 &lt; HHIS ≤ 100</w:t>
            </w:r>
          </w:p>
        </w:tc>
        <w:tc>
          <w:tcPr>
            <w:tcW w:w="4365" w:type="dxa"/>
          </w:tcPr>
          <w:tbl>
            <w:tblPr>
              <w:tblW w:w="0" w:type="auto"/>
              <w:jc w:val="center"/>
              <w:tblBorders>
                <w:top w:val="nil"/>
                <w:left w:val="nil"/>
                <w:bottom w:val="nil"/>
                <w:right w:val="nil"/>
              </w:tblBorders>
              <w:tblLook w:val="0000" w:firstRow="0" w:lastRow="0" w:firstColumn="0" w:lastColumn="0" w:noHBand="0" w:noVBand="0"/>
            </w:tblPr>
            <w:tblGrid>
              <w:gridCol w:w="316"/>
            </w:tblGrid>
            <w:tr w:rsidR="005C6636" w:rsidRPr="001B11AB" w14:paraId="57F56F2E" w14:textId="77777777" w:rsidTr="00557B69">
              <w:trPr>
                <w:trHeight w:val="90"/>
                <w:jc w:val="center"/>
              </w:trPr>
              <w:tc>
                <w:tcPr>
                  <w:tcW w:w="0" w:type="auto"/>
                </w:tcPr>
                <w:p w14:paraId="14D20423" w14:textId="77777777" w:rsidR="00CE6A58" w:rsidRPr="001B11AB" w:rsidRDefault="00CE6A58" w:rsidP="007873F4">
                  <w:pPr>
                    <w:autoSpaceDE w:val="0"/>
                    <w:autoSpaceDN w:val="0"/>
                    <w:adjustRightInd w:val="0"/>
                    <w:spacing w:after="0" w:line="240" w:lineRule="auto"/>
                    <w:rPr>
                      <w:rFonts w:ascii="Times New Roman" w:hAnsi="Times New Roman" w:cs="Times New Roman"/>
                      <w:sz w:val="20"/>
                      <w:szCs w:val="20"/>
                      <w:lang w:val="bs-Latn-BA"/>
                    </w:rPr>
                  </w:pPr>
                  <w:r w:rsidRPr="001B11AB">
                    <w:rPr>
                      <w:rFonts w:ascii="Times New Roman" w:hAnsi="Times New Roman" w:cs="Times New Roman"/>
                      <w:sz w:val="20"/>
                      <w:szCs w:val="20"/>
                      <w:lang w:val="bs-Latn-BA"/>
                    </w:rPr>
                    <w:t>8</w:t>
                  </w:r>
                </w:p>
              </w:tc>
            </w:tr>
          </w:tbl>
          <w:p w14:paraId="7DB727F3" w14:textId="77777777" w:rsidR="00CE6A58" w:rsidRPr="001B11AB" w:rsidRDefault="00CE6A58" w:rsidP="007873F4">
            <w:pPr>
              <w:pStyle w:val="ListParagraph"/>
              <w:autoSpaceDE w:val="0"/>
              <w:autoSpaceDN w:val="0"/>
              <w:adjustRightInd w:val="0"/>
              <w:ind w:left="0"/>
              <w:contextualSpacing w:val="0"/>
              <w:jc w:val="both"/>
              <w:rPr>
                <w:rFonts w:ascii="Times New Roman" w:hAnsi="Times New Roman" w:cs="Times New Roman"/>
                <w:b/>
                <w:sz w:val="20"/>
                <w:szCs w:val="20"/>
              </w:rPr>
            </w:pPr>
          </w:p>
        </w:tc>
      </w:tr>
    </w:tbl>
    <w:p w14:paraId="179C5595" w14:textId="638BE89A" w:rsidR="00910EFC" w:rsidRPr="00395275" w:rsidRDefault="00910EFC" w:rsidP="00897F23">
      <w:pPr>
        <w:tabs>
          <w:tab w:val="left" w:pos="6570"/>
        </w:tabs>
        <w:autoSpaceDE w:val="0"/>
        <w:autoSpaceDN w:val="0"/>
        <w:adjustRightInd w:val="0"/>
        <w:spacing w:after="0" w:line="240" w:lineRule="auto"/>
        <w:jc w:val="both"/>
        <w:rPr>
          <w:rFonts w:ascii="Times New Roman" w:hAnsi="Times New Roman" w:cs="Times New Roman"/>
          <w:bCs/>
        </w:rPr>
      </w:pPr>
    </w:p>
    <w:p w14:paraId="096753FC" w14:textId="390E2080" w:rsidR="007F573D" w:rsidRPr="001B11AB" w:rsidRDefault="007F573D" w:rsidP="0078563A">
      <w:pPr>
        <w:tabs>
          <w:tab w:val="left" w:pos="6570"/>
        </w:tabs>
        <w:autoSpaceDE w:val="0"/>
        <w:autoSpaceDN w:val="0"/>
        <w:adjustRightInd w:val="0"/>
        <w:spacing w:after="120" w:line="240" w:lineRule="auto"/>
        <w:jc w:val="both"/>
        <w:rPr>
          <w:rFonts w:ascii="Times New Roman" w:hAnsi="Times New Roman" w:cs="Times New Roman"/>
          <w:b/>
        </w:rPr>
      </w:pPr>
      <w:r w:rsidRPr="001B11AB">
        <w:rPr>
          <w:rFonts w:ascii="Times New Roman" w:hAnsi="Times New Roman" w:cs="Times New Roman"/>
          <w:b/>
        </w:rPr>
        <w:t>Табела 4.</w:t>
      </w:r>
    </w:p>
    <w:tbl>
      <w:tblPr>
        <w:tblStyle w:val="TableGrid"/>
        <w:tblW w:w="0" w:type="auto"/>
        <w:jc w:val="center"/>
        <w:tblLook w:val="04A0" w:firstRow="1" w:lastRow="0" w:firstColumn="1" w:lastColumn="0" w:noHBand="0" w:noVBand="1"/>
      </w:tblPr>
      <w:tblGrid>
        <w:gridCol w:w="4592"/>
        <w:gridCol w:w="4365"/>
      </w:tblGrid>
      <w:tr w:rsidR="007F573D" w:rsidRPr="001B11AB" w14:paraId="43E156C2" w14:textId="77777777" w:rsidTr="00F9406A">
        <w:trPr>
          <w:trHeight w:val="283"/>
          <w:jc w:val="center"/>
        </w:trPr>
        <w:tc>
          <w:tcPr>
            <w:tcW w:w="4592" w:type="dxa"/>
          </w:tcPr>
          <w:p w14:paraId="1CB7C8DE" w14:textId="77777777" w:rsidR="007F573D" w:rsidRPr="001B11AB" w:rsidRDefault="007F573D" w:rsidP="00541555">
            <w:pPr>
              <w:rPr>
                <w:rFonts w:ascii="Times New Roman" w:hAnsi="Times New Roman" w:cs="Times New Roman"/>
                <w:b/>
                <w:bCs/>
                <w:sz w:val="20"/>
                <w:szCs w:val="20"/>
              </w:rPr>
            </w:pPr>
            <w:r w:rsidRPr="001B11AB">
              <w:rPr>
                <w:rFonts w:ascii="Times New Roman" w:hAnsi="Times New Roman" w:cs="Times New Roman"/>
                <w:b/>
                <w:bCs/>
                <w:sz w:val="20"/>
                <w:szCs w:val="20"/>
              </w:rPr>
              <w:t>Индекс индивидуалне концентрације</w:t>
            </w:r>
          </w:p>
        </w:tc>
        <w:tc>
          <w:tcPr>
            <w:tcW w:w="4365" w:type="dxa"/>
          </w:tcPr>
          <w:p w14:paraId="51A1B674" w14:textId="77777777" w:rsidR="007F573D" w:rsidRPr="001B11AB" w:rsidRDefault="007F573D" w:rsidP="00541555">
            <w:pPr>
              <w:jc w:val="center"/>
              <w:rPr>
                <w:rFonts w:ascii="Times New Roman" w:hAnsi="Times New Roman" w:cs="Times New Roman"/>
                <w:b/>
                <w:bCs/>
                <w:sz w:val="20"/>
                <w:szCs w:val="20"/>
              </w:rPr>
            </w:pPr>
            <w:r w:rsidRPr="001B11AB">
              <w:rPr>
                <w:rFonts w:ascii="Times New Roman" w:hAnsi="Times New Roman" w:cs="Times New Roman"/>
                <w:b/>
                <w:bCs/>
                <w:sz w:val="20"/>
                <w:szCs w:val="20"/>
                <w:lang w:val="sr-Cyrl-BA"/>
              </w:rPr>
              <w:t>Д</w:t>
            </w:r>
            <w:r w:rsidRPr="001B11AB">
              <w:rPr>
                <w:rFonts w:ascii="Times New Roman" w:hAnsi="Times New Roman" w:cs="Times New Roman"/>
                <w:b/>
                <w:bCs/>
                <w:sz w:val="20"/>
                <w:szCs w:val="20"/>
              </w:rPr>
              <w:t>одатак %</w:t>
            </w:r>
          </w:p>
        </w:tc>
      </w:tr>
      <w:tr w:rsidR="007F573D" w:rsidRPr="001B11AB" w14:paraId="17EF9CC9" w14:textId="77777777" w:rsidTr="00F9406A">
        <w:trPr>
          <w:jc w:val="center"/>
        </w:trPr>
        <w:tc>
          <w:tcPr>
            <w:tcW w:w="4592" w:type="dxa"/>
          </w:tcPr>
          <w:p w14:paraId="36CA296B" w14:textId="77777777" w:rsidR="007F573D" w:rsidRPr="001B11AB" w:rsidRDefault="007F573D" w:rsidP="00541555">
            <w:pPr>
              <w:rPr>
                <w:rFonts w:ascii="Times New Roman" w:hAnsi="Times New Roman" w:cs="Times New Roman"/>
                <w:sz w:val="20"/>
                <w:szCs w:val="20"/>
              </w:rPr>
            </w:pPr>
            <w:r w:rsidRPr="001B11AB">
              <w:rPr>
                <w:rFonts w:ascii="Times New Roman" w:hAnsi="Times New Roman" w:cs="Times New Roman"/>
                <w:sz w:val="20"/>
                <w:szCs w:val="20"/>
                <w:lang w:val="bs-Latn-BA"/>
              </w:rPr>
              <w:t>0 &lt; HHIi ≤ 1</w:t>
            </w:r>
          </w:p>
        </w:tc>
        <w:tc>
          <w:tcPr>
            <w:tcW w:w="4365" w:type="dxa"/>
          </w:tcPr>
          <w:p w14:paraId="04A3B8A7" w14:textId="77777777" w:rsidR="007F573D" w:rsidRPr="001B11AB" w:rsidRDefault="007F573D" w:rsidP="00541555">
            <w:pPr>
              <w:jc w:val="center"/>
              <w:rPr>
                <w:rFonts w:ascii="Times New Roman" w:hAnsi="Times New Roman" w:cs="Times New Roman"/>
                <w:sz w:val="20"/>
                <w:szCs w:val="20"/>
                <w:lang w:val="sr-Cyrl-BA"/>
              </w:rPr>
            </w:pPr>
            <w:r w:rsidRPr="001B11AB">
              <w:rPr>
                <w:rFonts w:ascii="Times New Roman" w:hAnsi="Times New Roman" w:cs="Times New Roman"/>
                <w:sz w:val="20"/>
                <w:szCs w:val="20"/>
              </w:rPr>
              <w:t>0</w:t>
            </w:r>
          </w:p>
        </w:tc>
      </w:tr>
      <w:tr w:rsidR="007F573D" w:rsidRPr="001B11AB" w14:paraId="7CDB7B1D" w14:textId="77777777" w:rsidTr="00F9406A">
        <w:trPr>
          <w:jc w:val="center"/>
        </w:trPr>
        <w:tc>
          <w:tcPr>
            <w:tcW w:w="4592" w:type="dxa"/>
          </w:tcPr>
          <w:p w14:paraId="5E5E94BF" w14:textId="77777777" w:rsidR="007F573D" w:rsidRPr="001B11AB" w:rsidRDefault="007F573D" w:rsidP="00541555">
            <w:pPr>
              <w:rPr>
                <w:rFonts w:ascii="Times New Roman" w:hAnsi="Times New Roman" w:cs="Times New Roman"/>
                <w:sz w:val="20"/>
                <w:szCs w:val="20"/>
              </w:rPr>
            </w:pPr>
            <w:r w:rsidRPr="001B11AB">
              <w:rPr>
                <w:rFonts w:ascii="Times New Roman" w:hAnsi="Times New Roman" w:cs="Times New Roman"/>
                <w:sz w:val="20"/>
                <w:szCs w:val="20"/>
                <w:lang w:val="bs-Latn-BA"/>
              </w:rPr>
              <w:t>1 &lt; HHIi ≤ 2</w:t>
            </w:r>
          </w:p>
        </w:tc>
        <w:tc>
          <w:tcPr>
            <w:tcW w:w="4365" w:type="dxa"/>
          </w:tcPr>
          <w:p w14:paraId="6D7D5965" w14:textId="77777777" w:rsidR="007F573D" w:rsidRPr="001B11AB" w:rsidRDefault="007F573D" w:rsidP="00541555">
            <w:pPr>
              <w:jc w:val="center"/>
              <w:rPr>
                <w:rFonts w:ascii="Times New Roman" w:hAnsi="Times New Roman" w:cs="Times New Roman"/>
                <w:sz w:val="20"/>
                <w:szCs w:val="20"/>
                <w:lang w:val="sr-Cyrl-BA"/>
              </w:rPr>
            </w:pPr>
            <w:r w:rsidRPr="001B11AB">
              <w:rPr>
                <w:rFonts w:ascii="Times New Roman" w:hAnsi="Times New Roman" w:cs="Times New Roman"/>
                <w:sz w:val="20"/>
                <w:szCs w:val="20"/>
                <w:lang w:val="bs-Latn-BA"/>
              </w:rPr>
              <w:t>2</w:t>
            </w:r>
          </w:p>
        </w:tc>
      </w:tr>
      <w:tr w:rsidR="007F573D" w:rsidRPr="001B11AB" w14:paraId="3441A772" w14:textId="77777777" w:rsidTr="00F9406A">
        <w:trPr>
          <w:jc w:val="center"/>
        </w:trPr>
        <w:tc>
          <w:tcPr>
            <w:tcW w:w="4592" w:type="dxa"/>
          </w:tcPr>
          <w:p w14:paraId="0B0EF875" w14:textId="77777777" w:rsidR="007F573D" w:rsidRPr="001B11AB" w:rsidRDefault="007F573D" w:rsidP="00541555">
            <w:pPr>
              <w:rPr>
                <w:rFonts w:ascii="Times New Roman" w:hAnsi="Times New Roman" w:cs="Times New Roman"/>
                <w:sz w:val="20"/>
                <w:szCs w:val="20"/>
              </w:rPr>
            </w:pPr>
            <w:r w:rsidRPr="001B11AB">
              <w:rPr>
                <w:rFonts w:ascii="Times New Roman" w:hAnsi="Times New Roman" w:cs="Times New Roman"/>
                <w:sz w:val="20"/>
                <w:szCs w:val="20"/>
                <w:lang w:val="bs-Latn-BA"/>
              </w:rPr>
              <w:t>2&lt; HHIi ≤ 4</w:t>
            </w:r>
          </w:p>
        </w:tc>
        <w:tc>
          <w:tcPr>
            <w:tcW w:w="4365" w:type="dxa"/>
          </w:tcPr>
          <w:p w14:paraId="585E49CA" w14:textId="77777777" w:rsidR="007F573D" w:rsidRPr="001B11AB" w:rsidRDefault="007F573D" w:rsidP="00541555">
            <w:pPr>
              <w:jc w:val="center"/>
              <w:rPr>
                <w:rFonts w:ascii="Times New Roman" w:hAnsi="Times New Roman" w:cs="Times New Roman"/>
                <w:sz w:val="20"/>
                <w:szCs w:val="20"/>
                <w:lang w:val="sr-Cyrl-BA"/>
              </w:rPr>
            </w:pPr>
            <w:r w:rsidRPr="001B11AB">
              <w:rPr>
                <w:rFonts w:ascii="Times New Roman" w:hAnsi="Times New Roman" w:cs="Times New Roman"/>
                <w:sz w:val="20"/>
                <w:szCs w:val="20"/>
              </w:rPr>
              <w:t>4</w:t>
            </w:r>
          </w:p>
        </w:tc>
      </w:tr>
      <w:tr w:rsidR="007F573D" w:rsidRPr="001B11AB" w14:paraId="388E716F" w14:textId="77777777" w:rsidTr="00F9406A">
        <w:trPr>
          <w:jc w:val="center"/>
        </w:trPr>
        <w:tc>
          <w:tcPr>
            <w:tcW w:w="4592" w:type="dxa"/>
          </w:tcPr>
          <w:p w14:paraId="55C18AD1" w14:textId="77777777" w:rsidR="007F573D" w:rsidRPr="001B11AB" w:rsidRDefault="007F573D" w:rsidP="00541555">
            <w:pPr>
              <w:rPr>
                <w:rFonts w:ascii="Times New Roman" w:hAnsi="Times New Roman" w:cs="Times New Roman"/>
                <w:sz w:val="20"/>
                <w:szCs w:val="20"/>
              </w:rPr>
            </w:pPr>
            <w:r w:rsidRPr="001B11AB">
              <w:rPr>
                <w:rFonts w:ascii="Times New Roman" w:hAnsi="Times New Roman" w:cs="Times New Roman"/>
                <w:sz w:val="20"/>
                <w:szCs w:val="20"/>
                <w:lang w:val="bs-Latn-BA"/>
              </w:rPr>
              <w:t>4 &lt; HHIi ≤10</w:t>
            </w:r>
          </w:p>
        </w:tc>
        <w:tc>
          <w:tcPr>
            <w:tcW w:w="4365" w:type="dxa"/>
          </w:tcPr>
          <w:p w14:paraId="7CF75BEC" w14:textId="77777777" w:rsidR="007F573D" w:rsidRPr="001B11AB" w:rsidRDefault="007F573D" w:rsidP="00541555">
            <w:pPr>
              <w:jc w:val="center"/>
              <w:rPr>
                <w:rFonts w:ascii="Times New Roman" w:hAnsi="Times New Roman" w:cs="Times New Roman"/>
                <w:sz w:val="20"/>
                <w:szCs w:val="20"/>
                <w:lang w:val="sr-Cyrl-BA"/>
              </w:rPr>
            </w:pPr>
            <w:r w:rsidRPr="001B11AB">
              <w:rPr>
                <w:rFonts w:ascii="Times New Roman" w:hAnsi="Times New Roman" w:cs="Times New Roman"/>
                <w:sz w:val="20"/>
                <w:szCs w:val="20"/>
                <w:lang w:val="bs-Latn-BA"/>
              </w:rPr>
              <w:t>6</w:t>
            </w:r>
          </w:p>
        </w:tc>
      </w:tr>
      <w:tr w:rsidR="007F573D" w:rsidRPr="001B11AB" w14:paraId="740A1257" w14:textId="77777777" w:rsidTr="00F9406A">
        <w:trPr>
          <w:jc w:val="center"/>
        </w:trPr>
        <w:tc>
          <w:tcPr>
            <w:tcW w:w="4592" w:type="dxa"/>
          </w:tcPr>
          <w:p w14:paraId="4BA27D2D" w14:textId="77777777" w:rsidR="007F573D" w:rsidRPr="001B11AB" w:rsidRDefault="007F573D" w:rsidP="00541555">
            <w:pPr>
              <w:rPr>
                <w:rFonts w:ascii="Times New Roman" w:hAnsi="Times New Roman" w:cs="Times New Roman"/>
                <w:sz w:val="20"/>
                <w:szCs w:val="20"/>
              </w:rPr>
            </w:pPr>
            <w:r w:rsidRPr="001B11AB">
              <w:rPr>
                <w:rFonts w:ascii="Times New Roman" w:hAnsi="Times New Roman" w:cs="Times New Roman"/>
                <w:sz w:val="20"/>
                <w:szCs w:val="20"/>
                <w:lang w:val="bs-Latn-BA"/>
              </w:rPr>
              <w:t>10 &lt; HHIi ≤ 100</w:t>
            </w:r>
          </w:p>
        </w:tc>
        <w:tc>
          <w:tcPr>
            <w:tcW w:w="4365" w:type="dxa"/>
          </w:tcPr>
          <w:p w14:paraId="33A8F69F" w14:textId="77777777" w:rsidR="007F573D" w:rsidRPr="001B11AB" w:rsidRDefault="007F573D" w:rsidP="00541555">
            <w:pPr>
              <w:jc w:val="center"/>
              <w:rPr>
                <w:rFonts w:ascii="Times New Roman" w:hAnsi="Times New Roman" w:cs="Times New Roman"/>
                <w:sz w:val="20"/>
                <w:szCs w:val="20"/>
                <w:lang w:val="sr-Cyrl-BA"/>
              </w:rPr>
            </w:pPr>
            <w:r w:rsidRPr="001B11AB">
              <w:rPr>
                <w:rFonts w:ascii="Times New Roman" w:hAnsi="Times New Roman" w:cs="Times New Roman"/>
                <w:sz w:val="20"/>
                <w:szCs w:val="20"/>
                <w:lang w:val="bs-Latn-BA"/>
              </w:rPr>
              <w:t>8</w:t>
            </w:r>
          </w:p>
        </w:tc>
      </w:tr>
    </w:tbl>
    <w:p w14:paraId="3242A486" w14:textId="42CDAE76" w:rsidR="0078563A" w:rsidRPr="00D43B75" w:rsidRDefault="0078563A" w:rsidP="00F9406A">
      <w:pPr>
        <w:spacing w:after="0" w:line="240" w:lineRule="auto"/>
        <w:jc w:val="both"/>
        <w:rPr>
          <w:rFonts w:ascii="Times New Roman" w:hAnsi="Times New Roman" w:cs="Times New Roman"/>
          <w:lang w:val="ru-RU"/>
        </w:rPr>
      </w:pPr>
    </w:p>
    <w:sectPr w:rsidR="0078563A" w:rsidRPr="00D43B75" w:rsidSect="00F9406A">
      <w:pgSz w:w="11907" w:h="16840" w:code="9"/>
      <w:pgMar w:top="1134" w:right="1134" w:bottom="851" w:left="141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B827" w14:textId="77777777" w:rsidR="0004127F" w:rsidRDefault="0004127F" w:rsidP="00CE6A58">
      <w:pPr>
        <w:spacing w:after="0" w:line="240" w:lineRule="auto"/>
      </w:pPr>
      <w:r>
        <w:separator/>
      </w:r>
    </w:p>
  </w:endnote>
  <w:endnote w:type="continuationSeparator" w:id="0">
    <w:p w14:paraId="7B6F0D96" w14:textId="77777777" w:rsidR="0004127F" w:rsidRDefault="0004127F" w:rsidP="00CE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fe L2">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8898008"/>
      <w:docPartObj>
        <w:docPartGallery w:val="Page Numbers (Bottom of Page)"/>
        <w:docPartUnique/>
      </w:docPartObj>
    </w:sdtPr>
    <w:sdtEndPr>
      <w:rPr>
        <w:noProof/>
      </w:rPr>
    </w:sdtEndPr>
    <w:sdtContent>
      <w:p w14:paraId="59A3F753" w14:textId="77777777" w:rsidR="00CF6885" w:rsidRPr="0059493D" w:rsidRDefault="00CF6885">
        <w:pPr>
          <w:pStyle w:val="Footer"/>
          <w:jc w:val="right"/>
          <w:rPr>
            <w:rFonts w:ascii="Times New Roman" w:hAnsi="Times New Roman" w:cs="Times New Roman"/>
          </w:rPr>
        </w:pPr>
        <w:r w:rsidRPr="0059493D">
          <w:rPr>
            <w:rFonts w:ascii="Times New Roman" w:hAnsi="Times New Roman" w:cs="Times New Roman"/>
          </w:rPr>
          <w:fldChar w:fldCharType="begin"/>
        </w:r>
        <w:r w:rsidRPr="0059493D">
          <w:rPr>
            <w:rFonts w:ascii="Times New Roman" w:hAnsi="Times New Roman" w:cs="Times New Roman"/>
          </w:rPr>
          <w:instrText xml:space="preserve"> PAGE   \* MERGEFORMAT </w:instrText>
        </w:r>
        <w:r w:rsidRPr="0059493D">
          <w:rPr>
            <w:rFonts w:ascii="Times New Roman" w:hAnsi="Times New Roman" w:cs="Times New Roman"/>
          </w:rPr>
          <w:fldChar w:fldCharType="separate"/>
        </w:r>
        <w:r>
          <w:rPr>
            <w:rFonts w:ascii="Times New Roman" w:hAnsi="Times New Roman" w:cs="Times New Roman"/>
            <w:noProof/>
          </w:rPr>
          <w:t>2</w:t>
        </w:r>
        <w:r w:rsidRPr="0059493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ECDD" w14:textId="77777777" w:rsidR="0004127F" w:rsidRDefault="0004127F" w:rsidP="00CE6A58">
      <w:pPr>
        <w:spacing w:after="0" w:line="240" w:lineRule="auto"/>
      </w:pPr>
      <w:r>
        <w:separator/>
      </w:r>
    </w:p>
  </w:footnote>
  <w:footnote w:type="continuationSeparator" w:id="0">
    <w:p w14:paraId="1200320A" w14:textId="77777777" w:rsidR="0004127F" w:rsidRDefault="0004127F" w:rsidP="00CE6A58">
      <w:pPr>
        <w:spacing w:after="0" w:line="240" w:lineRule="auto"/>
      </w:pPr>
      <w:r>
        <w:continuationSeparator/>
      </w:r>
    </w:p>
  </w:footnote>
  <w:footnote w:id="1">
    <w:p w14:paraId="2E8DDD3A" w14:textId="1C343818" w:rsidR="00CF6885" w:rsidRPr="002C5FE4" w:rsidRDefault="00CF6885" w:rsidP="00EC24BD">
      <w:pPr>
        <w:pStyle w:val="FootnoteText"/>
        <w:jc w:val="both"/>
        <w:rPr>
          <w:rFonts w:ascii="Times New Roman" w:hAnsi="Times New Roman" w:cs="Times New Roman"/>
          <w:lang w:val="ru-RU"/>
        </w:rPr>
      </w:pPr>
      <w:r w:rsidRPr="001B11AB">
        <w:rPr>
          <w:rStyle w:val="FootnoteReference"/>
          <w:rFonts w:ascii="Times New Roman" w:hAnsi="Times New Roman" w:cs="Times New Roman"/>
        </w:rPr>
        <w:footnoteRef/>
      </w:r>
      <w:r w:rsidRPr="001B11AB">
        <w:rPr>
          <w:rFonts w:ascii="Times New Roman" w:hAnsi="Times New Roman" w:cs="Times New Roman"/>
          <w:lang w:val="ru-RU"/>
        </w:rPr>
        <w:t xml:space="preserve"> Према стандардној класификацији дјелатности.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E0"/>
    <w:multiLevelType w:val="hybridMultilevel"/>
    <w:tmpl w:val="E4EE40D8"/>
    <w:lvl w:ilvl="0" w:tplc="FE385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65781"/>
    <w:multiLevelType w:val="hybridMultilevel"/>
    <w:tmpl w:val="78DAD4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3D417A0"/>
    <w:multiLevelType w:val="hybridMultilevel"/>
    <w:tmpl w:val="D746554C"/>
    <w:lvl w:ilvl="0" w:tplc="483E085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1566"/>
    <w:multiLevelType w:val="hybridMultilevel"/>
    <w:tmpl w:val="53D0C450"/>
    <w:lvl w:ilvl="0" w:tplc="04090011">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6534D08"/>
    <w:multiLevelType w:val="hybridMultilevel"/>
    <w:tmpl w:val="CD70FF7E"/>
    <w:lvl w:ilvl="0" w:tplc="04090011">
      <w:start w:val="1"/>
      <w:numFmt w:val="decimal"/>
      <w:lvlText w:val="%1)"/>
      <w:lvlJc w:val="left"/>
      <w:pPr>
        <w:ind w:left="900" w:hanging="360"/>
      </w:pPr>
      <w:rPr>
        <w:rFonts w:hint="default"/>
        <w:b w:val="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06D665A1"/>
    <w:multiLevelType w:val="hybridMultilevel"/>
    <w:tmpl w:val="63BA6886"/>
    <w:lvl w:ilvl="0" w:tplc="52DAF982">
      <w:start w:val="1"/>
      <w:numFmt w:val="decimal"/>
      <w:lvlText w:val="(%1)"/>
      <w:lvlJc w:val="left"/>
      <w:pPr>
        <w:ind w:left="502" w:hanging="360"/>
      </w:pPr>
      <w:rPr>
        <w:rFonts w:hint="default"/>
        <w:b w:val="0"/>
      </w:rPr>
    </w:lvl>
    <w:lvl w:ilvl="1" w:tplc="7E40EDC0">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7587162"/>
    <w:multiLevelType w:val="hybridMultilevel"/>
    <w:tmpl w:val="816EFBA4"/>
    <w:lvl w:ilvl="0" w:tplc="603AE5E6">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077A00F6"/>
    <w:multiLevelType w:val="hybridMultilevel"/>
    <w:tmpl w:val="53D0C450"/>
    <w:lvl w:ilvl="0" w:tplc="04090011">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CF016A2"/>
    <w:multiLevelType w:val="hybridMultilevel"/>
    <w:tmpl w:val="63BA6886"/>
    <w:lvl w:ilvl="0" w:tplc="52DAF982">
      <w:start w:val="1"/>
      <w:numFmt w:val="decimal"/>
      <w:lvlText w:val="(%1)"/>
      <w:lvlJc w:val="left"/>
      <w:pPr>
        <w:ind w:left="502" w:hanging="360"/>
      </w:pPr>
      <w:rPr>
        <w:rFonts w:hint="default"/>
        <w:b w:val="0"/>
      </w:rPr>
    </w:lvl>
    <w:lvl w:ilvl="1" w:tplc="7E40EDC0">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F1207D"/>
    <w:multiLevelType w:val="hybridMultilevel"/>
    <w:tmpl w:val="CDB64530"/>
    <w:lvl w:ilvl="0" w:tplc="3224D6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7E24"/>
    <w:multiLevelType w:val="hybridMultilevel"/>
    <w:tmpl w:val="D95ADF6C"/>
    <w:lvl w:ilvl="0" w:tplc="FE385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7575B"/>
    <w:multiLevelType w:val="hybridMultilevel"/>
    <w:tmpl w:val="66289F92"/>
    <w:lvl w:ilvl="0" w:tplc="AF2C9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6A6F45"/>
    <w:multiLevelType w:val="hybridMultilevel"/>
    <w:tmpl w:val="70D2AE04"/>
    <w:lvl w:ilvl="0" w:tplc="909896C0">
      <w:start w:val="1"/>
      <w:numFmt w:val="decimal"/>
      <w:lvlText w:val="(%1)"/>
      <w:lvlJc w:val="left"/>
      <w:pPr>
        <w:ind w:left="360" w:hanging="360"/>
      </w:pPr>
      <w:rPr>
        <w:rFonts w:hint="default"/>
      </w:rPr>
    </w:lvl>
    <w:lvl w:ilvl="1" w:tplc="7E40ED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C32B03"/>
    <w:multiLevelType w:val="hybridMultilevel"/>
    <w:tmpl w:val="64EC4706"/>
    <w:lvl w:ilvl="0" w:tplc="FE385598">
      <w:start w:val="1"/>
      <w:numFmt w:val="bullet"/>
      <w:lvlText w:val=""/>
      <w:lvlJc w:val="left"/>
      <w:pPr>
        <w:ind w:left="360" w:hanging="360"/>
      </w:pPr>
      <w:rPr>
        <w:rFonts w:ascii="Symbol" w:hAnsi="Symbol" w:hint="default"/>
      </w:rPr>
    </w:lvl>
    <w:lvl w:ilvl="1" w:tplc="4816F95A">
      <w:start w:val="1"/>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FE0C11"/>
    <w:multiLevelType w:val="hybridMultilevel"/>
    <w:tmpl w:val="2B8CE78E"/>
    <w:lvl w:ilvl="0" w:tplc="FE385598">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1DBE33E0"/>
    <w:multiLevelType w:val="hybridMultilevel"/>
    <w:tmpl w:val="EE9094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E5FB8"/>
    <w:multiLevelType w:val="hybridMultilevel"/>
    <w:tmpl w:val="63BA6886"/>
    <w:lvl w:ilvl="0" w:tplc="52DAF982">
      <w:start w:val="1"/>
      <w:numFmt w:val="decimal"/>
      <w:lvlText w:val="(%1)"/>
      <w:lvlJc w:val="left"/>
      <w:pPr>
        <w:ind w:left="502" w:hanging="360"/>
      </w:pPr>
      <w:rPr>
        <w:rFonts w:hint="default"/>
        <w:b w:val="0"/>
      </w:rPr>
    </w:lvl>
    <w:lvl w:ilvl="1" w:tplc="7E40EDC0">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8520F19"/>
    <w:multiLevelType w:val="hybridMultilevel"/>
    <w:tmpl w:val="8E0CDDA4"/>
    <w:lvl w:ilvl="0" w:tplc="04090011">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2A1D5E80"/>
    <w:multiLevelType w:val="hybridMultilevel"/>
    <w:tmpl w:val="2F8EA22E"/>
    <w:lvl w:ilvl="0" w:tplc="E4005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B8D"/>
    <w:multiLevelType w:val="hybridMultilevel"/>
    <w:tmpl w:val="C2F4A43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B87D9B"/>
    <w:multiLevelType w:val="hybridMultilevel"/>
    <w:tmpl w:val="6EF2B6AA"/>
    <w:lvl w:ilvl="0" w:tplc="1A164848">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27618A3"/>
    <w:multiLevelType w:val="hybridMultilevel"/>
    <w:tmpl w:val="FB1857E8"/>
    <w:lvl w:ilvl="0" w:tplc="A07E94AC">
      <w:start w:val="1"/>
      <w:numFmt w:val="upperLetter"/>
      <w:lvlText w:val="%1)"/>
      <w:lvlJc w:val="left"/>
      <w:pPr>
        <w:ind w:left="581" w:hanging="360"/>
      </w:pPr>
      <w:rPr>
        <w:rFonts w:hint="default"/>
        <w:b/>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2" w15:restartNumberingAfterBreak="0">
    <w:nsid w:val="344922E9"/>
    <w:multiLevelType w:val="hybridMultilevel"/>
    <w:tmpl w:val="63BA6886"/>
    <w:lvl w:ilvl="0" w:tplc="52DAF982">
      <w:start w:val="1"/>
      <w:numFmt w:val="decimal"/>
      <w:lvlText w:val="(%1)"/>
      <w:lvlJc w:val="left"/>
      <w:pPr>
        <w:ind w:left="502" w:hanging="360"/>
      </w:pPr>
      <w:rPr>
        <w:rFonts w:hint="default"/>
        <w:b w:val="0"/>
      </w:rPr>
    </w:lvl>
    <w:lvl w:ilvl="1" w:tplc="7E40EDC0">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613439E"/>
    <w:multiLevelType w:val="hybridMultilevel"/>
    <w:tmpl w:val="60B8EC6E"/>
    <w:lvl w:ilvl="0" w:tplc="04090011">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39F40DA3"/>
    <w:multiLevelType w:val="hybridMultilevel"/>
    <w:tmpl w:val="B53430F0"/>
    <w:lvl w:ilvl="0" w:tplc="D31A3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8B2FB5"/>
    <w:multiLevelType w:val="hybridMultilevel"/>
    <w:tmpl w:val="8BA25FE4"/>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C906DC"/>
    <w:multiLevelType w:val="hybridMultilevel"/>
    <w:tmpl w:val="53D0C450"/>
    <w:lvl w:ilvl="0" w:tplc="04090011">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0AD5F44"/>
    <w:multiLevelType w:val="hybridMultilevel"/>
    <w:tmpl w:val="63BA6886"/>
    <w:lvl w:ilvl="0" w:tplc="52DAF982">
      <w:start w:val="1"/>
      <w:numFmt w:val="decimal"/>
      <w:lvlText w:val="(%1)"/>
      <w:lvlJc w:val="left"/>
      <w:pPr>
        <w:ind w:left="502" w:hanging="360"/>
      </w:pPr>
      <w:rPr>
        <w:rFonts w:hint="default"/>
        <w:b w:val="0"/>
      </w:rPr>
    </w:lvl>
    <w:lvl w:ilvl="1" w:tplc="7E40EDC0">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7F72381"/>
    <w:multiLevelType w:val="hybridMultilevel"/>
    <w:tmpl w:val="50287D6C"/>
    <w:lvl w:ilvl="0" w:tplc="AF2C9B1E">
      <w:start w:val="1"/>
      <w:numFmt w:val="decimal"/>
      <w:lvlText w:val="(%1)"/>
      <w:lvlJc w:val="left"/>
      <w:pPr>
        <w:ind w:left="360" w:hanging="360"/>
      </w:pPr>
      <w:rPr>
        <w:rFonts w:hint="default"/>
      </w:rPr>
    </w:lvl>
    <w:lvl w:ilvl="1" w:tplc="18025D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664EE8"/>
    <w:multiLevelType w:val="multilevel"/>
    <w:tmpl w:val="E5BE2D80"/>
    <w:lvl w:ilvl="0">
      <w:start w:val="5"/>
      <w:numFmt w:val="decimal"/>
      <w:lvlText w:val="%1."/>
      <w:lvlJc w:val="left"/>
      <w:pPr>
        <w:ind w:left="405" w:hanging="405"/>
      </w:pPr>
      <w:rPr>
        <w:rFonts w:hint="default"/>
      </w:rPr>
    </w:lvl>
    <w:lvl w:ilvl="1">
      <w:start w:val="4"/>
      <w:numFmt w:val="decimal"/>
      <w:lvlText w:val="%1.%2."/>
      <w:lvlJc w:val="left"/>
      <w:pPr>
        <w:ind w:left="1305" w:hanging="40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30" w15:restartNumberingAfterBreak="0">
    <w:nsid w:val="4CAC2C17"/>
    <w:multiLevelType w:val="hybridMultilevel"/>
    <w:tmpl w:val="B53430F0"/>
    <w:lvl w:ilvl="0" w:tplc="D31A3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0A0012"/>
    <w:multiLevelType w:val="multilevel"/>
    <w:tmpl w:val="EEA4C412"/>
    <w:lvl w:ilvl="0">
      <w:start w:val="1"/>
      <w:numFmt w:val="decimal"/>
      <w:lvlText w:val="%1."/>
      <w:lvlJc w:val="left"/>
      <w:pPr>
        <w:ind w:left="720" w:hanging="360"/>
      </w:pPr>
      <w:rPr>
        <w:color w:val="auto"/>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2" w15:restartNumberingAfterBreak="0">
    <w:nsid w:val="532E4B19"/>
    <w:multiLevelType w:val="hybridMultilevel"/>
    <w:tmpl w:val="B53430F0"/>
    <w:lvl w:ilvl="0" w:tplc="D31A3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0511EA"/>
    <w:multiLevelType w:val="hybridMultilevel"/>
    <w:tmpl w:val="2A182760"/>
    <w:lvl w:ilvl="0" w:tplc="04090005">
      <w:start w:val="1"/>
      <w:numFmt w:val="bullet"/>
      <w:lvlText w:val=""/>
      <w:lvlJc w:val="left"/>
      <w:pPr>
        <w:ind w:left="720" w:hanging="360"/>
      </w:pPr>
      <w:rPr>
        <w:rFonts w:ascii="Wingdings" w:hAnsi="Wingdings" w:hint="default"/>
      </w:rPr>
    </w:lvl>
    <w:lvl w:ilvl="1" w:tplc="1AB4B840">
      <w:numFmt w:val="bullet"/>
      <w:lvlText w:val="-"/>
      <w:lvlJc w:val="left"/>
      <w:pPr>
        <w:ind w:left="502" w:hanging="360"/>
      </w:pPr>
      <w:rPr>
        <w:rFonts w:ascii="Times New Roman" w:eastAsia="Calibri"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87168"/>
    <w:multiLevelType w:val="hybridMultilevel"/>
    <w:tmpl w:val="1E3EB8A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FE595C"/>
    <w:multiLevelType w:val="hybridMultilevel"/>
    <w:tmpl w:val="5F1ABB3E"/>
    <w:lvl w:ilvl="0" w:tplc="F3DAA95E">
      <w:start w:val="1"/>
      <w:numFmt w:val="decimal"/>
      <w:lvlText w:val="%1)"/>
      <w:lvlJc w:val="left"/>
      <w:pPr>
        <w:ind w:left="900" w:hanging="360"/>
      </w:pPr>
      <w:rPr>
        <w:rFonts w:hint="default"/>
        <w:b w:val="0"/>
        <w:color w:val="000000" w:themeColor="text1"/>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5D623226"/>
    <w:multiLevelType w:val="hybridMultilevel"/>
    <w:tmpl w:val="6EF2B6AA"/>
    <w:lvl w:ilvl="0" w:tplc="1A164848">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0AA207F"/>
    <w:multiLevelType w:val="hybridMultilevel"/>
    <w:tmpl w:val="8572056A"/>
    <w:lvl w:ilvl="0" w:tplc="909896C0">
      <w:start w:val="1"/>
      <w:numFmt w:val="decimal"/>
      <w:lvlText w:val="(%1)"/>
      <w:lvlJc w:val="left"/>
      <w:pPr>
        <w:ind w:left="360" w:hanging="360"/>
      </w:pPr>
      <w:rPr>
        <w:rFonts w:hint="default"/>
      </w:rPr>
    </w:lvl>
    <w:lvl w:ilvl="1" w:tplc="7E40ED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D10455"/>
    <w:multiLevelType w:val="hybridMultilevel"/>
    <w:tmpl w:val="53D0C450"/>
    <w:lvl w:ilvl="0" w:tplc="04090011">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A4A6D32"/>
    <w:multiLevelType w:val="hybridMultilevel"/>
    <w:tmpl w:val="6EF2B6AA"/>
    <w:lvl w:ilvl="0" w:tplc="1A164848">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AE0722D"/>
    <w:multiLevelType w:val="multilevel"/>
    <w:tmpl w:val="01707416"/>
    <w:lvl w:ilvl="0">
      <w:start w:val="5"/>
      <w:numFmt w:val="decimal"/>
      <w:lvlText w:val="%1."/>
      <w:lvlJc w:val="left"/>
      <w:pPr>
        <w:ind w:left="405" w:hanging="405"/>
      </w:pPr>
      <w:rPr>
        <w:rFonts w:hint="default"/>
      </w:rPr>
    </w:lvl>
    <w:lvl w:ilvl="1">
      <w:start w:val="3"/>
      <w:numFmt w:val="decimal"/>
      <w:lvlText w:val="%1.%2."/>
      <w:lvlJc w:val="left"/>
      <w:pPr>
        <w:ind w:left="1305" w:hanging="40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41" w15:restartNumberingAfterBreak="0">
    <w:nsid w:val="6CE73B70"/>
    <w:multiLevelType w:val="hybridMultilevel"/>
    <w:tmpl w:val="6D4EA6B8"/>
    <w:lvl w:ilvl="0" w:tplc="89D41E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0543F7"/>
    <w:multiLevelType w:val="hybridMultilevel"/>
    <w:tmpl w:val="8BEA1F0E"/>
    <w:lvl w:ilvl="0" w:tplc="04090011">
      <w:start w:val="1"/>
      <w:numFmt w:val="decimal"/>
      <w:lvlText w:val="%1)"/>
      <w:lvlJc w:val="left"/>
      <w:pPr>
        <w:ind w:left="1080" w:hanging="360"/>
      </w:pPr>
    </w:lvl>
    <w:lvl w:ilvl="1" w:tplc="04090011">
      <w:start w:val="1"/>
      <w:numFmt w:val="decimal"/>
      <w:lvlText w:val="%2)"/>
      <w:lvlJc w:val="left"/>
      <w:pPr>
        <w:ind w:left="786"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7E7079"/>
    <w:multiLevelType w:val="hybridMultilevel"/>
    <w:tmpl w:val="234EC0EE"/>
    <w:lvl w:ilvl="0" w:tplc="FE385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831DFC"/>
    <w:multiLevelType w:val="hybridMultilevel"/>
    <w:tmpl w:val="50287D6C"/>
    <w:lvl w:ilvl="0" w:tplc="AF2C9B1E">
      <w:start w:val="1"/>
      <w:numFmt w:val="decimal"/>
      <w:lvlText w:val="(%1)"/>
      <w:lvlJc w:val="left"/>
      <w:pPr>
        <w:ind w:left="360" w:hanging="360"/>
      </w:pPr>
      <w:rPr>
        <w:rFonts w:hint="default"/>
      </w:rPr>
    </w:lvl>
    <w:lvl w:ilvl="1" w:tplc="18025D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2543FA"/>
    <w:multiLevelType w:val="hybridMultilevel"/>
    <w:tmpl w:val="B53430F0"/>
    <w:lvl w:ilvl="0" w:tplc="D31A3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257C22"/>
    <w:multiLevelType w:val="hybridMultilevel"/>
    <w:tmpl w:val="CDB64530"/>
    <w:lvl w:ilvl="0" w:tplc="3224D6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E4A9C"/>
    <w:multiLevelType w:val="hybridMultilevel"/>
    <w:tmpl w:val="53D0C450"/>
    <w:lvl w:ilvl="0" w:tplc="04090011">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4"/>
  </w:num>
  <w:num w:numId="2">
    <w:abstractNumId w:val="35"/>
  </w:num>
  <w:num w:numId="3">
    <w:abstractNumId w:val="17"/>
  </w:num>
  <w:num w:numId="4">
    <w:abstractNumId w:val="6"/>
  </w:num>
  <w:num w:numId="5">
    <w:abstractNumId w:val="19"/>
  </w:num>
  <w:num w:numId="6">
    <w:abstractNumId w:val="23"/>
  </w:num>
  <w:num w:numId="7">
    <w:abstractNumId w:val="25"/>
  </w:num>
  <w:num w:numId="8">
    <w:abstractNumId w:val="34"/>
  </w:num>
  <w:num w:numId="9">
    <w:abstractNumId w:val="7"/>
  </w:num>
  <w:num w:numId="10">
    <w:abstractNumId w:val="38"/>
  </w:num>
  <w:num w:numId="11">
    <w:abstractNumId w:val="11"/>
  </w:num>
  <w:num w:numId="12">
    <w:abstractNumId w:val="47"/>
  </w:num>
  <w:num w:numId="13">
    <w:abstractNumId w:val="26"/>
  </w:num>
  <w:num w:numId="14">
    <w:abstractNumId w:val="18"/>
  </w:num>
  <w:num w:numId="15">
    <w:abstractNumId w:val="42"/>
  </w:num>
  <w:num w:numId="16">
    <w:abstractNumId w:val="4"/>
  </w:num>
  <w:num w:numId="17">
    <w:abstractNumId w:val="12"/>
  </w:num>
  <w:num w:numId="18">
    <w:abstractNumId w:val="36"/>
  </w:num>
  <w:num w:numId="19">
    <w:abstractNumId w:val="37"/>
  </w:num>
  <w:num w:numId="20">
    <w:abstractNumId w:val="39"/>
  </w:num>
  <w:num w:numId="21">
    <w:abstractNumId w:val="20"/>
  </w:num>
  <w:num w:numId="22">
    <w:abstractNumId w:val="32"/>
  </w:num>
  <w:num w:numId="23">
    <w:abstractNumId w:val="41"/>
  </w:num>
  <w:num w:numId="24">
    <w:abstractNumId w:val="3"/>
  </w:num>
  <w:num w:numId="25">
    <w:abstractNumId w:val="31"/>
  </w:num>
  <w:num w:numId="26">
    <w:abstractNumId w:val="40"/>
  </w:num>
  <w:num w:numId="27">
    <w:abstractNumId w:val="29"/>
  </w:num>
  <w:num w:numId="28">
    <w:abstractNumId w:val="2"/>
  </w:num>
  <w:num w:numId="29">
    <w:abstractNumId w:val="21"/>
  </w:num>
  <w:num w:numId="30">
    <w:abstractNumId w:val="10"/>
  </w:num>
  <w:num w:numId="31">
    <w:abstractNumId w:val="43"/>
  </w:num>
  <w:num w:numId="32">
    <w:abstractNumId w:val="14"/>
  </w:num>
  <w:num w:numId="33">
    <w:abstractNumId w:val="13"/>
  </w:num>
  <w:num w:numId="34">
    <w:abstractNumId w:val="0"/>
  </w:num>
  <w:num w:numId="35">
    <w:abstractNumId w:val="15"/>
  </w:num>
  <w:num w:numId="36">
    <w:abstractNumId w:val="33"/>
  </w:num>
  <w:num w:numId="37">
    <w:abstractNumId w:val="28"/>
  </w:num>
  <w:num w:numId="38">
    <w:abstractNumId w:val="22"/>
  </w:num>
  <w:num w:numId="39">
    <w:abstractNumId w:val="5"/>
  </w:num>
  <w:num w:numId="40">
    <w:abstractNumId w:val="16"/>
  </w:num>
  <w:num w:numId="41">
    <w:abstractNumId w:val="8"/>
  </w:num>
  <w:num w:numId="42">
    <w:abstractNumId w:val="27"/>
  </w:num>
  <w:num w:numId="43">
    <w:abstractNumId w:val="46"/>
  </w:num>
  <w:num w:numId="44">
    <w:abstractNumId w:val="9"/>
  </w:num>
  <w:num w:numId="45">
    <w:abstractNumId w:val="45"/>
  </w:num>
  <w:num w:numId="46">
    <w:abstractNumId w:val="30"/>
  </w:num>
  <w:num w:numId="47">
    <w:abstractNumId w:val="24"/>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78"/>
    <w:rsid w:val="00007D7A"/>
    <w:rsid w:val="0001425A"/>
    <w:rsid w:val="00014E41"/>
    <w:rsid w:val="0004127F"/>
    <w:rsid w:val="00041E41"/>
    <w:rsid w:val="00045AD6"/>
    <w:rsid w:val="00047DF1"/>
    <w:rsid w:val="00053814"/>
    <w:rsid w:val="00077549"/>
    <w:rsid w:val="00093B08"/>
    <w:rsid w:val="0009608A"/>
    <w:rsid w:val="000B5651"/>
    <w:rsid w:val="000C58DF"/>
    <w:rsid w:val="000E3BD9"/>
    <w:rsid w:val="000F0070"/>
    <w:rsid w:val="000F17C9"/>
    <w:rsid w:val="00127C27"/>
    <w:rsid w:val="00131A4E"/>
    <w:rsid w:val="00131D22"/>
    <w:rsid w:val="00132BCF"/>
    <w:rsid w:val="00133CE0"/>
    <w:rsid w:val="0013775D"/>
    <w:rsid w:val="00140495"/>
    <w:rsid w:val="00146178"/>
    <w:rsid w:val="00155D0D"/>
    <w:rsid w:val="00157632"/>
    <w:rsid w:val="001602C5"/>
    <w:rsid w:val="00173254"/>
    <w:rsid w:val="001810CA"/>
    <w:rsid w:val="001824A7"/>
    <w:rsid w:val="00184406"/>
    <w:rsid w:val="001A52FF"/>
    <w:rsid w:val="001A6A05"/>
    <w:rsid w:val="001B11AB"/>
    <w:rsid w:val="001B317A"/>
    <w:rsid w:val="00200589"/>
    <w:rsid w:val="00215C91"/>
    <w:rsid w:val="00223BC0"/>
    <w:rsid w:val="0022662B"/>
    <w:rsid w:val="00234A25"/>
    <w:rsid w:val="00237442"/>
    <w:rsid w:val="002534BD"/>
    <w:rsid w:val="002622C4"/>
    <w:rsid w:val="00282BB7"/>
    <w:rsid w:val="002919AC"/>
    <w:rsid w:val="002B2B10"/>
    <w:rsid w:val="002C35F0"/>
    <w:rsid w:val="002C5FE4"/>
    <w:rsid w:val="002C70ED"/>
    <w:rsid w:val="002D6114"/>
    <w:rsid w:val="002F3466"/>
    <w:rsid w:val="003203FE"/>
    <w:rsid w:val="0032463C"/>
    <w:rsid w:val="0033587B"/>
    <w:rsid w:val="0035337F"/>
    <w:rsid w:val="003541F5"/>
    <w:rsid w:val="00371DC0"/>
    <w:rsid w:val="00376B07"/>
    <w:rsid w:val="003818E3"/>
    <w:rsid w:val="003912FB"/>
    <w:rsid w:val="00392819"/>
    <w:rsid w:val="00395275"/>
    <w:rsid w:val="003A4913"/>
    <w:rsid w:val="003B422A"/>
    <w:rsid w:val="003B73A4"/>
    <w:rsid w:val="003C3D54"/>
    <w:rsid w:val="003D782E"/>
    <w:rsid w:val="003D7E91"/>
    <w:rsid w:val="003E5CA3"/>
    <w:rsid w:val="00402F1F"/>
    <w:rsid w:val="00410B02"/>
    <w:rsid w:val="0041702C"/>
    <w:rsid w:val="0043248C"/>
    <w:rsid w:val="00450390"/>
    <w:rsid w:val="0045783C"/>
    <w:rsid w:val="004606D2"/>
    <w:rsid w:val="004746FF"/>
    <w:rsid w:val="004750C7"/>
    <w:rsid w:val="0048149D"/>
    <w:rsid w:val="004B3FE0"/>
    <w:rsid w:val="004D17EF"/>
    <w:rsid w:val="004E03EA"/>
    <w:rsid w:val="005150C5"/>
    <w:rsid w:val="005203CE"/>
    <w:rsid w:val="005326F6"/>
    <w:rsid w:val="00540768"/>
    <w:rsid w:val="00540C0A"/>
    <w:rsid w:val="00541555"/>
    <w:rsid w:val="00544B75"/>
    <w:rsid w:val="005463B4"/>
    <w:rsid w:val="00557B69"/>
    <w:rsid w:val="00560B12"/>
    <w:rsid w:val="005648E5"/>
    <w:rsid w:val="005748CC"/>
    <w:rsid w:val="0057753C"/>
    <w:rsid w:val="0059493D"/>
    <w:rsid w:val="005B2ACA"/>
    <w:rsid w:val="005B6372"/>
    <w:rsid w:val="005C6636"/>
    <w:rsid w:val="005C7005"/>
    <w:rsid w:val="005D0A83"/>
    <w:rsid w:val="005F4AE8"/>
    <w:rsid w:val="00626F29"/>
    <w:rsid w:val="00672CC3"/>
    <w:rsid w:val="006773EB"/>
    <w:rsid w:val="006816EB"/>
    <w:rsid w:val="00682CDA"/>
    <w:rsid w:val="0069472C"/>
    <w:rsid w:val="00697DC0"/>
    <w:rsid w:val="006A2877"/>
    <w:rsid w:val="006A3AFC"/>
    <w:rsid w:val="006A4E2A"/>
    <w:rsid w:val="006B46AF"/>
    <w:rsid w:val="006B470A"/>
    <w:rsid w:val="006B7115"/>
    <w:rsid w:val="006C44CF"/>
    <w:rsid w:val="006D2116"/>
    <w:rsid w:val="006E0070"/>
    <w:rsid w:val="006E1D78"/>
    <w:rsid w:val="006E6B98"/>
    <w:rsid w:val="006F4726"/>
    <w:rsid w:val="006F496F"/>
    <w:rsid w:val="00702A82"/>
    <w:rsid w:val="00702D9B"/>
    <w:rsid w:val="00730D9C"/>
    <w:rsid w:val="007359F8"/>
    <w:rsid w:val="00742C7B"/>
    <w:rsid w:val="0076372C"/>
    <w:rsid w:val="00766A8C"/>
    <w:rsid w:val="00775BD4"/>
    <w:rsid w:val="007810EF"/>
    <w:rsid w:val="00785397"/>
    <w:rsid w:val="0078563A"/>
    <w:rsid w:val="007873F4"/>
    <w:rsid w:val="007A32C6"/>
    <w:rsid w:val="007D5285"/>
    <w:rsid w:val="007E2E4D"/>
    <w:rsid w:val="007F05FD"/>
    <w:rsid w:val="007F4653"/>
    <w:rsid w:val="007F573D"/>
    <w:rsid w:val="008306CB"/>
    <w:rsid w:val="008334D9"/>
    <w:rsid w:val="00836FE5"/>
    <w:rsid w:val="00837BEF"/>
    <w:rsid w:val="0085602E"/>
    <w:rsid w:val="00856DDA"/>
    <w:rsid w:val="00860B5A"/>
    <w:rsid w:val="008637D5"/>
    <w:rsid w:val="008977B9"/>
    <w:rsid w:val="00897F23"/>
    <w:rsid w:val="008A0612"/>
    <w:rsid w:val="008A08D3"/>
    <w:rsid w:val="008A0DBB"/>
    <w:rsid w:val="008B20E4"/>
    <w:rsid w:val="008C47BD"/>
    <w:rsid w:val="008C4EDA"/>
    <w:rsid w:val="008C593A"/>
    <w:rsid w:val="008D4786"/>
    <w:rsid w:val="008E627A"/>
    <w:rsid w:val="008F34DE"/>
    <w:rsid w:val="00906FAF"/>
    <w:rsid w:val="00910EFC"/>
    <w:rsid w:val="00915556"/>
    <w:rsid w:val="009170CC"/>
    <w:rsid w:val="00952414"/>
    <w:rsid w:val="009926A9"/>
    <w:rsid w:val="00997AB1"/>
    <w:rsid w:val="009A24A6"/>
    <w:rsid w:val="009A2B93"/>
    <w:rsid w:val="009B6233"/>
    <w:rsid w:val="009C2062"/>
    <w:rsid w:val="009D1197"/>
    <w:rsid w:val="009E5862"/>
    <w:rsid w:val="009F5BFC"/>
    <w:rsid w:val="009F62CB"/>
    <w:rsid w:val="00A06A77"/>
    <w:rsid w:val="00A16D02"/>
    <w:rsid w:val="00A17989"/>
    <w:rsid w:val="00A205B3"/>
    <w:rsid w:val="00A2429E"/>
    <w:rsid w:val="00A242D9"/>
    <w:rsid w:val="00A32860"/>
    <w:rsid w:val="00A37942"/>
    <w:rsid w:val="00A40988"/>
    <w:rsid w:val="00A4193A"/>
    <w:rsid w:val="00A454BF"/>
    <w:rsid w:val="00A73DDE"/>
    <w:rsid w:val="00A7577C"/>
    <w:rsid w:val="00A81B9F"/>
    <w:rsid w:val="00A84C83"/>
    <w:rsid w:val="00A86D88"/>
    <w:rsid w:val="00A87812"/>
    <w:rsid w:val="00A87AEE"/>
    <w:rsid w:val="00A91347"/>
    <w:rsid w:val="00A91766"/>
    <w:rsid w:val="00A9422D"/>
    <w:rsid w:val="00A95F7D"/>
    <w:rsid w:val="00AB1EE0"/>
    <w:rsid w:val="00AE5475"/>
    <w:rsid w:val="00AF0745"/>
    <w:rsid w:val="00B37CA4"/>
    <w:rsid w:val="00B95BF1"/>
    <w:rsid w:val="00B97AD4"/>
    <w:rsid w:val="00BB434F"/>
    <w:rsid w:val="00BB7ABE"/>
    <w:rsid w:val="00BC0D32"/>
    <w:rsid w:val="00BC100E"/>
    <w:rsid w:val="00BD0DB6"/>
    <w:rsid w:val="00BD2329"/>
    <w:rsid w:val="00BF0BC5"/>
    <w:rsid w:val="00BF3375"/>
    <w:rsid w:val="00BF6A78"/>
    <w:rsid w:val="00C136EE"/>
    <w:rsid w:val="00C205AC"/>
    <w:rsid w:val="00C35F72"/>
    <w:rsid w:val="00C56DEC"/>
    <w:rsid w:val="00C63AAB"/>
    <w:rsid w:val="00C70CEB"/>
    <w:rsid w:val="00C801CF"/>
    <w:rsid w:val="00CA4D87"/>
    <w:rsid w:val="00CB0894"/>
    <w:rsid w:val="00CC646B"/>
    <w:rsid w:val="00CC726D"/>
    <w:rsid w:val="00CD3D26"/>
    <w:rsid w:val="00CE1F48"/>
    <w:rsid w:val="00CE46BA"/>
    <w:rsid w:val="00CE6A58"/>
    <w:rsid w:val="00CF37C2"/>
    <w:rsid w:val="00CF6885"/>
    <w:rsid w:val="00D0418B"/>
    <w:rsid w:val="00D0661F"/>
    <w:rsid w:val="00D137B4"/>
    <w:rsid w:val="00D20866"/>
    <w:rsid w:val="00D42B7D"/>
    <w:rsid w:val="00D50A4A"/>
    <w:rsid w:val="00D51513"/>
    <w:rsid w:val="00D86ED2"/>
    <w:rsid w:val="00D95419"/>
    <w:rsid w:val="00DB1016"/>
    <w:rsid w:val="00DB2A29"/>
    <w:rsid w:val="00DB3563"/>
    <w:rsid w:val="00DC5C6C"/>
    <w:rsid w:val="00DD11A3"/>
    <w:rsid w:val="00DD3DE5"/>
    <w:rsid w:val="00DF194F"/>
    <w:rsid w:val="00DF53CF"/>
    <w:rsid w:val="00E0520D"/>
    <w:rsid w:val="00E22CD1"/>
    <w:rsid w:val="00E32190"/>
    <w:rsid w:val="00E340D7"/>
    <w:rsid w:val="00E3660E"/>
    <w:rsid w:val="00E451C1"/>
    <w:rsid w:val="00E562F2"/>
    <w:rsid w:val="00E700C8"/>
    <w:rsid w:val="00E740BB"/>
    <w:rsid w:val="00E86C15"/>
    <w:rsid w:val="00E92210"/>
    <w:rsid w:val="00EB131A"/>
    <w:rsid w:val="00EB38CB"/>
    <w:rsid w:val="00EC1920"/>
    <w:rsid w:val="00EC24BD"/>
    <w:rsid w:val="00ED0821"/>
    <w:rsid w:val="00ED6625"/>
    <w:rsid w:val="00EF0B62"/>
    <w:rsid w:val="00EF15C5"/>
    <w:rsid w:val="00EF1AFA"/>
    <w:rsid w:val="00EF5631"/>
    <w:rsid w:val="00F023BA"/>
    <w:rsid w:val="00F066E5"/>
    <w:rsid w:val="00F06ECA"/>
    <w:rsid w:val="00F12B40"/>
    <w:rsid w:val="00F21ABA"/>
    <w:rsid w:val="00F22135"/>
    <w:rsid w:val="00F25885"/>
    <w:rsid w:val="00F26822"/>
    <w:rsid w:val="00F44DF4"/>
    <w:rsid w:val="00F66D73"/>
    <w:rsid w:val="00F6703C"/>
    <w:rsid w:val="00F74278"/>
    <w:rsid w:val="00F85771"/>
    <w:rsid w:val="00F9406A"/>
    <w:rsid w:val="00FA2803"/>
    <w:rsid w:val="00FA709C"/>
    <w:rsid w:val="00FB7C23"/>
    <w:rsid w:val="00FD267A"/>
    <w:rsid w:val="00FE4D4F"/>
    <w:rsid w:val="00FE654A"/>
    <w:rsid w:val="00FF1F06"/>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ACF0"/>
  <w15:docId w15:val="{8ADAF454-4999-4824-A8D0-77E22E1F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A78"/>
    <w:rPr>
      <w:rFonts w:eastAsiaTheme="minorEastAsia"/>
    </w:rPr>
  </w:style>
  <w:style w:type="paragraph" w:styleId="Heading1">
    <w:name w:val="heading 1"/>
    <w:basedOn w:val="Normal"/>
    <w:next w:val="Normal"/>
    <w:link w:val="Heading1Char"/>
    <w:uiPriority w:val="9"/>
    <w:qFormat/>
    <w:rsid w:val="00BF6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6A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78"/>
    <w:pPr>
      <w:ind w:left="720"/>
      <w:contextualSpacing/>
    </w:pPr>
  </w:style>
  <w:style w:type="character" w:customStyle="1" w:styleId="Heading1Char">
    <w:name w:val="Heading 1 Char"/>
    <w:basedOn w:val="DefaultParagraphFont"/>
    <w:link w:val="Heading1"/>
    <w:uiPriority w:val="9"/>
    <w:rsid w:val="00BF6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6A78"/>
    <w:rPr>
      <w:rFonts w:asciiTheme="majorHAnsi" w:eastAsiaTheme="majorEastAsia" w:hAnsiTheme="majorHAnsi" w:cstheme="majorBidi"/>
      <w:b/>
      <w:bCs/>
      <w:color w:val="4F81BD" w:themeColor="accent1"/>
    </w:rPr>
  </w:style>
  <w:style w:type="table" w:styleId="TableGrid">
    <w:name w:val="Table Grid"/>
    <w:basedOn w:val="TableNormal"/>
    <w:uiPriority w:val="59"/>
    <w:rsid w:val="00BF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A78"/>
    <w:pPr>
      <w:spacing w:after="0" w:line="240" w:lineRule="auto"/>
    </w:pPr>
  </w:style>
  <w:style w:type="paragraph" w:customStyle="1" w:styleId="Default">
    <w:name w:val="Default"/>
    <w:rsid w:val="00BF6A78"/>
    <w:pPr>
      <w:autoSpaceDE w:val="0"/>
      <w:autoSpaceDN w:val="0"/>
      <w:adjustRightInd w:val="0"/>
      <w:spacing w:after="0" w:line="240" w:lineRule="auto"/>
    </w:pPr>
    <w:rPr>
      <w:rFonts w:ascii="Life L2" w:eastAsia="Times New Roman" w:hAnsi="Life L2" w:cs="Life L2"/>
      <w:color w:val="000000"/>
      <w:sz w:val="24"/>
      <w:szCs w:val="24"/>
      <w:lang w:val="hr-HR" w:eastAsia="hr-HR"/>
    </w:rPr>
  </w:style>
  <w:style w:type="paragraph" w:styleId="FootnoteText">
    <w:name w:val="footnote text"/>
    <w:aliases w:val="Footnote Text Char Char,Footnote,Fußnote,FSR footnote,lábléc,Carattere1,Footnote Text Char1 Char,Footnote Text Char2 Char Char Char,Footnote Text Char1 Char Char Char Char,Footnote Text Char Char Char Char Char Char,fn,f,Znak, Carattere1"/>
    <w:basedOn w:val="Normal"/>
    <w:link w:val="FootnoteTextChar"/>
    <w:unhideWhenUsed/>
    <w:rsid w:val="00CE6A58"/>
    <w:pPr>
      <w:spacing w:after="0" w:line="240" w:lineRule="auto"/>
    </w:pPr>
    <w:rPr>
      <w:rFonts w:eastAsiaTheme="minorHAnsi"/>
      <w:sz w:val="20"/>
      <w:szCs w:val="20"/>
    </w:rPr>
  </w:style>
  <w:style w:type="character" w:customStyle="1" w:styleId="FootnoteTextChar">
    <w:name w:val="Footnote Text Char"/>
    <w:aliases w:val="Footnote Text Char Char Char,Footnote Char,Fußnote Char,FSR footnote Char,lábléc Char,Carattere1 Char,Footnote Text Char1 Char Char,Footnote Text Char2 Char Char Char Char,Footnote Text Char1 Char Char Char Char Char,fn Char,f Char"/>
    <w:basedOn w:val="DefaultParagraphFont"/>
    <w:link w:val="FootnoteText"/>
    <w:rsid w:val="00CE6A58"/>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Char1,16 Point"/>
    <w:basedOn w:val="DefaultParagraphFont"/>
    <w:unhideWhenUsed/>
    <w:rsid w:val="00CE6A58"/>
    <w:rPr>
      <w:vertAlign w:val="superscript"/>
    </w:rPr>
  </w:style>
  <w:style w:type="paragraph" w:styleId="Header">
    <w:name w:val="header"/>
    <w:basedOn w:val="Normal"/>
    <w:link w:val="HeaderChar"/>
    <w:uiPriority w:val="99"/>
    <w:unhideWhenUsed/>
    <w:rsid w:val="00BB434F"/>
    <w:pPr>
      <w:tabs>
        <w:tab w:val="center" w:pos="4703"/>
        <w:tab w:val="right" w:pos="9406"/>
      </w:tabs>
      <w:spacing w:after="0" w:line="240" w:lineRule="auto"/>
    </w:pPr>
  </w:style>
  <w:style w:type="character" w:customStyle="1" w:styleId="HeaderChar">
    <w:name w:val="Header Char"/>
    <w:basedOn w:val="DefaultParagraphFont"/>
    <w:link w:val="Header"/>
    <w:uiPriority w:val="99"/>
    <w:rsid w:val="00BB434F"/>
    <w:rPr>
      <w:rFonts w:eastAsiaTheme="minorEastAsia"/>
    </w:rPr>
  </w:style>
  <w:style w:type="paragraph" w:styleId="Footer">
    <w:name w:val="footer"/>
    <w:basedOn w:val="Normal"/>
    <w:link w:val="FooterChar"/>
    <w:uiPriority w:val="99"/>
    <w:unhideWhenUsed/>
    <w:rsid w:val="00BB43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B434F"/>
    <w:rPr>
      <w:rFonts w:eastAsiaTheme="minorEastAsia"/>
    </w:rPr>
  </w:style>
  <w:style w:type="character" w:styleId="Hyperlink">
    <w:name w:val="Hyperlink"/>
    <w:basedOn w:val="DefaultParagraphFont"/>
    <w:uiPriority w:val="99"/>
    <w:semiHidden/>
    <w:unhideWhenUsed/>
    <w:rsid w:val="00D50A4A"/>
    <w:rPr>
      <w:color w:val="0000FF"/>
      <w:u w:val="single"/>
    </w:rPr>
  </w:style>
  <w:style w:type="paragraph" w:styleId="BalloonText">
    <w:name w:val="Balloon Text"/>
    <w:basedOn w:val="Normal"/>
    <w:link w:val="BalloonTextChar"/>
    <w:uiPriority w:val="99"/>
    <w:semiHidden/>
    <w:unhideWhenUsed/>
    <w:rsid w:val="0056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1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32190"/>
    <w:rPr>
      <w:sz w:val="16"/>
      <w:szCs w:val="16"/>
    </w:rPr>
  </w:style>
  <w:style w:type="paragraph" w:styleId="CommentText">
    <w:name w:val="annotation text"/>
    <w:basedOn w:val="Normal"/>
    <w:link w:val="CommentTextChar"/>
    <w:uiPriority w:val="99"/>
    <w:semiHidden/>
    <w:unhideWhenUsed/>
    <w:rsid w:val="00E32190"/>
    <w:pPr>
      <w:spacing w:line="240" w:lineRule="auto"/>
    </w:pPr>
    <w:rPr>
      <w:sz w:val="20"/>
      <w:szCs w:val="20"/>
    </w:rPr>
  </w:style>
  <w:style w:type="character" w:customStyle="1" w:styleId="CommentTextChar">
    <w:name w:val="Comment Text Char"/>
    <w:basedOn w:val="DefaultParagraphFont"/>
    <w:link w:val="CommentText"/>
    <w:uiPriority w:val="99"/>
    <w:semiHidden/>
    <w:rsid w:val="00E3219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2190"/>
    <w:rPr>
      <w:b/>
      <w:bCs/>
    </w:rPr>
  </w:style>
  <w:style w:type="character" w:customStyle="1" w:styleId="CommentSubjectChar">
    <w:name w:val="Comment Subject Char"/>
    <w:basedOn w:val="CommentTextChar"/>
    <w:link w:val="CommentSubject"/>
    <w:uiPriority w:val="99"/>
    <w:semiHidden/>
    <w:rsid w:val="00E3219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0426">
      <w:bodyDiv w:val="1"/>
      <w:marLeft w:val="0"/>
      <w:marRight w:val="0"/>
      <w:marTop w:val="0"/>
      <w:marBottom w:val="0"/>
      <w:divBdr>
        <w:top w:val="none" w:sz="0" w:space="0" w:color="auto"/>
        <w:left w:val="none" w:sz="0" w:space="0" w:color="auto"/>
        <w:bottom w:val="none" w:sz="0" w:space="0" w:color="auto"/>
        <w:right w:val="none" w:sz="0" w:space="0" w:color="auto"/>
      </w:divBdr>
    </w:div>
    <w:div w:id="1240746907">
      <w:bodyDiv w:val="1"/>
      <w:marLeft w:val="0"/>
      <w:marRight w:val="0"/>
      <w:marTop w:val="0"/>
      <w:marBottom w:val="0"/>
      <w:divBdr>
        <w:top w:val="none" w:sz="0" w:space="0" w:color="auto"/>
        <w:left w:val="none" w:sz="0" w:space="0" w:color="auto"/>
        <w:bottom w:val="none" w:sz="0" w:space="0" w:color="auto"/>
        <w:right w:val="none" w:sz="0" w:space="0" w:color="auto"/>
      </w:divBdr>
    </w:div>
    <w:div w:id="1992515816">
      <w:bodyDiv w:val="1"/>
      <w:marLeft w:val="0"/>
      <w:marRight w:val="0"/>
      <w:marTop w:val="0"/>
      <w:marBottom w:val="0"/>
      <w:divBdr>
        <w:top w:val="none" w:sz="0" w:space="0" w:color="auto"/>
        <w:left w:val="none" w:sz="0" w:space="0" w:color="auto"/>
        <w:bottom w:val="none" w:sz="0" w:space="0" w:color="auto"/>
        <w:right w:val="none" w:sz="0" w:space="0" w:color="auto"/>
      </w:divBdr>
    </w:div>
    <w:div w:id="20100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C8BB-A93E-4DCA-8ABB-D63FFACB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7294</Words>
  <Characters>41581</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Nježić</dc:creator>
  <cp:lastModifiedBy>Slobodan Tabaković</cp:lastModifiedBy>
  <cp:revision>2</cp:revision>
  <cp:lastPrinted>2020-12-16T10:28:00Z</cp:lastPrinted>
  <dcterms:created xsi:type="dcterms:W3CDTF">2023-10-26T06:56:00Z</dcterms:created>
  <dcterms:modified xsi:type="dcterms:W3CDTF">2023-10-26T06:56:00Z</dcterms:modified>
</cp:coreProperties>
</file>