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  <w:r w:rsidRPr="00596162">
        <w:rPr>
          <w:rFonts w:ascii="Times New Roman" w:hAnsi="Times New Roman" w:cs="Times New Roman"/>
          <w:b/>
          <w:lang w:val="de-DE"/>
        </w:rPr>
        <w:t>ПРИЛОГ 1.</w:t>
      </w:r>
    </w:p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E43636" w:rsidRPr="00596162" w:rsidRDefault="00E43636" w:rsidP="00273AF3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596162">
        <w:rPr>
          <w:rFonts w:ascii="Times New Roman" w:hAnsi="Times New Roman" w:cs="Times New Roman"/>
          <w:b/>
          <w:lang w:val="de-DE"/>
        </w:rPr>
        <w:t>ИЗВЈЕШТАЈ О ПОСТУПКУ ИНТЕРНЕ ПРОЦЈЕНЕ</w:t>
      </w:r>
    </w:p>
    <w:p w:rsidR="00E43636" w:rsidRPr="00596162" w:rsidRDefault="00E43636" w:rsidP="00273AF3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596162">
        <w:rPr>
          <w:rFonts w:ascii="Times New Roman" w:hAnsi="Times New Roman" w:cs="Times New Roman"/>
          <w:b/>
        </w:rPr>
        <w:t>АДЕКВАТНОСТИ ЛИКВИДНОСТИ (</w:t>
      </w:r>
      <w:r w:rsidRPr="00596162">
        <w:rPr>
          <w:rFonts w:ascii="Times New Roman" w:hAnsi="Times New Roman" w:cs="Times New Roman"/>
          <w:b/>
          <w:i/>
        </w:rPr>
        <w:t>ILAAP</w:t>
      </w:r>
      <w:r w:rsidRPr="00596162">
        <w:rPr>
          <w:rFonts w:ascii="Times New Roman" w:hAnsi="Times New Roman" w:cs="Times New Roman"/>
          <w:b/>
        </w:rPr>
        <w:t>)</w:t>
      </w:r>
    </w:p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11DFF" w:rsidRPr="00596162" w:rsidRDefault="00111DFF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>ОПШТЕ ИНФОРМАЦИЈЕ</w:t>
      </w:r>
    </w:p>
    <w:p w:rsidR="008A14FE" w:rsidRPr="00596162" w:rsidRDefault="008A14FE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A14FE" w:rsidRPr="00596162" w:rsidRDefault="008A14FE" w:rsidP="00273AF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596162">
        <w:rPr>
          <w:rFonts w:ascii="Times New Roman" w:hAnsi="Times New Roman" w:cs="Times New Roman"/>
          <w:b/>
          <w:sz w:val="20"/>
          <w:szCs w:val="20"/>
          <w:lang w:val="sr-Cyrl-BA"/>
        </w:rPr>
        <w:t>Основне информације и кратак опис</w:t>
      </w: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Пуни назив банке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 који се извјештај односи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Датум сачињавања извјештаја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AF0166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Лице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које је сачињавало извјештај / лицā 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кој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а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су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сачињавала 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звјештај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AF0166" w:rsidRPr="00596162" w:rsidRDefault="00AF0166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Назив радног мјеста </w:t>
            </w:r>
          </w:p>
          <w:p w:rsidR="00E43636" w:rsidRPr="00596162" w:rsidRDefault="00AF0166" w:rsidP="00273AF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лица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кој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сачињавало извјештај  / лицā која су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сачињавала извјештај 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Организациони дио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AF016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Телефон и </w:t>
            </w:r>
            <w:r w:rsidR="00AF0166"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имејл</w:t>
            </w:r>
            <w:r w:rsidR="00AF0166" w:rsidRPr="00596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-адреса 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контакт</w:t>
            </w:r>
            <w:r w:rsidR="00AF0166"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004526"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лица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Процјена адекватности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успостављеног </w:t>
            </w:r>
            <w:r w:rsidRPr="005961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ILAAP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-а од</w:t>
            </w:r>
          </w:p>
          <w:p w:rsidR="00E43636" w:rsidRPr="00596162" w:rsidRDefault="00B55912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стране интерне реви</w:t>
            </w:r>
            <w:r w:rsidR="00E43636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зије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[датум посљедњег ревизорског извјештаја]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Одобрење од стране</w:t>
            </w:r>
          </w:p>
          <w:p w:rsidR="00E43636" w:rsidRPr="00596162" w:rsidRDefault="00B55912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</w:t>
            </w:r>
            <w:r w:rsidR="00E43636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праве банке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[датум и потпис]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Одобрење од стране </w:t>
            </w:r>
          </w:p>
          <w:p w:rsidR="00E43636" w:rsidRPr="00596162" w:rsidRDefault="00B55912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</w:t>
            </w:r>
            <w:r w:rsidR="00E43636" w:rsidRPr="00596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адзорног одбора</w:t>
            </w:r>
            <w:r w:rsidR="00004526"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банке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[датум и потпис]</w:t>
            </w:r>
          </w:p>
        </w:tc>
      </w:tr>
    </w:tbl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7"/>
        <w:gridCol w:w="6044"/>
      </w:tblGrid>
      <w:tr w:rsidR="00BC26A6" w:rsidRPr="00596162" w:rsidTr="00E43636">
        <w:tc>
          <w:tcPr>
            <w:tcW w:w="9216" w:type="dxa"/>
            <w:gridSpan w:val="2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1.2. Опсег примјене</w:t>
            </w:r>
          </w:p>
        </w:tc>
      </w:tr>
      <w:tr w:rsidR="00E43636" w:rsidRPr="00596162" w:rsidTr="00E43636">
        <w:tc>
          <w:tcPr>
            <w:tcW w:w="316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Опсег примјене </w:t>
            </w:r>
            <w:r w:rsidRPr="005961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ILAAP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-а у банци</w:t>
            </w:r>
          </w:p>
          <w:p w:rsidR="00B4089F" w:rsidRPr="00596162" w:rsidRDefault="00E43636" w:rsidP="00273AF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– </w:t>
            </w:r>
            <w:r w:rsidR="004C26C2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банка примјењује </w:t>
            </w:r>
            <w:r w:rsidR="004C26C2" w:rsidRPr="005961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ILAAP</w:t>
            </w:r>
            <w:r w:rsidR="004C26C2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89F"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</w:t>
            </w:r>
          </w:p>
          <w:p w:rsidR="00E43636" w:rsidRPr="00596162" w:rsidRDefault="00B4089F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</w:t>
            </w:r>
            <w:r w:rsidR="00E43636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 на појединачној основи, </w:t>
            </w:r>
          </w:p>
          <w:p w:rsidR="00B4089F" w:rsidRPr="00596162" w:rsidRDefault="00E43636" w:rsidP="00273AF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– </w:t>
            </w:r>
            <w:r w:rsidRPr="005961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ILAAP</w:t>
            </w:r>
            <w:r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 примјењује и на </w:t>
            </w:r>
          </w:p>
          <w:p w:rsidR="00E43636" w:rsidRPr="00596162" w:rsidRDefault="00B4089F" w:rsidP="00273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</w:t>
            </w:r>
            <w:r w:rsidR="00E43636" w:rsidRPr="00596162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консолидованој основи)</w:t>
            </w:r>
          </w:p>
        </w:tc>
        <w:tc>
          <w:tcPr>
            <w:tcW w:w="6048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[Унијети 1 ако банка примјењује ILAAP само на појединачној основи, унијети 2 ако банка примјењује ILAAP и на консолидованој основи.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Банка која примјењује ILAAP на консолидованој основи дужна је Агенцији доставити извјештај о ILAAP-у и на појединачној и на консолидованој основи, а уз извјештај који израђује на консолидованој основи банка доставља списак подређених друштава укључених у ILAAP.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Извјештај о ILAAP-у на консолидованој основи саставља и доставља Агенцији надре</w:t>
            </w:r>
            <w:r w:rsidR="00004526" w:rsidRPr="00596162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ђ</w:t>
            </w: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ена банка унутар банкарске групе и банка која је под контролом холдинга или надре</w:t>
            </w:r>
            <w:r w:rsidR="00004526" w:rsidRPr="00596162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ђ</w:t>
            </w: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еног матичног друштва унутар банкарске групе којима</w:t>
            </w:r>
            <w:r w:rsidR="00004526"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је Агенција издала дозволу за </w:t>
            </w:r>
            <w:r w:rsidRPr="00596162">
              <w:rPr>
                <w:rFonts w:ascii="Times New Roman" w:hAnsi="Times New Roman" w:cs="Times New Roman"/>
                <w:i/>
                <w:sz w:val="20"/>
                <w:szCs w:val="20"/>
              </w:rPr>
              <w:t>рад.]</w:t>
            </w:r>
          </w:p>
        </w:tc>
      </w:tr>
    </w:tbl>
    <w:p w:rsidR="00111DFF" w:rsidRPr="00596162" w:rsidRDefault="00111DFF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111DFF" w:rsidRPr="00596162" w:rsidSect="002753F6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397" w:gutter="0"/>
          <w:pgNumType w:start="1"/>
          <w:cols w:space="720"/>
          <w:docGrid w:linePitch="360"/>
        </w:sect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lastRenderedPageBreak/>
        <w:t>РЕЗУЛТАТИ И ОЦ</w:t>
      </w:r>
      <w:r w:rsidR="007D7173" w:rsidRPr="00596162">
        <w:rPr>
          <w:rFonts w:ascii="Times New Roman" w:hAnsi="Times New Roman" w:cs="Times New Roman"/>
          <w:b/>
          <w:lang w:val="sr-Cyrl-BA"/>
        </w:rPr>
        <w:t>Ј</w:t>
      </w:r>
      <w:r w:rsidRPr="00596162">
        <w:rPr>
          <w:rFonts w:ascii="Times New Roman" w:hAnsi="Times New Roman" w:cs="Times New Roman"/>
          <w:b/>
        </w:rPr>
        <w:t xml:space="preserve">ЕНА </w:t>
      </w:r>
      <w:r w:rsidRPr="00596162">
        <w:rPr>
          <w:rFonts w:ascii="Times New Roman" w:hAnsi="Times New Roman" w:cs="Times New Roman"/>
          <w:b/>
          <w:i/>
        </w:rPr>
        <w:t>ILAAP</w:t>
      </w:r>
      <w:r w:rsidRPr="00596162">
        <w:rPr>
          <w:rFonts w:ascii="Times New Roman" w:hAnsi="Times New Roman" w:cs="Times New Roman"/>
          <w:b/>
        </w:rPr>
        <w:t>-А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111DFF">
        <w:trPr>
          <w:trHeight w:val="227"/>
        </w:trPr>
        <w:tc>
          <w:tcPr>
            <w:tcW w:w="9211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 xml:space="preserve">2.1. Резултати </w:t>
            </w:r>
            <w:r w:rsidRPr="00596162">
              <w:rPr>
                <w:rFonts w:ascii="Times New Roman" w:hAnsi="Times New Roman" w:cs="Times New Roman"/>
                <w:b/>
                <w:i/>
              </w:rPr>
              <w:t>ILAAP</w:t>
            </w:r>
            <w:r w:rsidRPr="00596162">
              <w:rPr>
                <w:rFonts w:ascii="Times New Roman" w:hAnsi="Times New Roman" w:cs="Times New Roman"/>
                <w:b/>
              </w:rPr>
              <w:t>-а</w:t>
            </w:r>
          </w:p>
        </w:tc>
      </w:tr>
      <w:tr w:rsidR="00BC26A6" w:rsidRPr="00596162" w:rsidTr="00111DFF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[Банка даје оцјену адекватности ликвидности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="00820232" w:rsidRPr="00596162">
              <w:rPr>
                <w:rFonts w:ascii="Times New Roman" w:hAnsi="Times New Roman" w:cs="Times New Roman"/>
                <w:i/>
              </w:rPr>
              <w:t xml:space="preserve"> која минимално укључује с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љ</w:t>
            </w:r>
            <w:r w:rsidRPr="00596162">
              <w:rPr>
                <w:rFonts w:ascii="Times New Roman" w:hAnsi="Times New Roman" w:cs="Times New Roman"/>
                <w:i/>
              </w:rPr>
              <w:t>едеће: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свеобухватну оцјену да ли тренутна ликвидност обезбјеђује континуитет пословања банке или је угрожава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и на који начин,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оцјену усклађености са регулаторним захтјевима у погледу управљања ризиком ликвидности,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оцјену нивоа и структуре интерн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их</w:t>
            </w:r>
            <w:r w:rsidRPr="00596162">
              <w:rPr>
                <w:rFonts w:ascii="Times New Roman" w:hAnsi="Times New Roman" w:cs="Times New Roman"/>
                <w:i/>
              </w:rPr>
              <w:t xml:space="preserve"> 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резерви</w:t>
            </w:r>
            <w:r w:rsidRPr="00596162">
              <w:rPr>
                <w:rFonts w:ascii="Times New Roman" w:hAnsi="Times New Roman" w:cs="Times New Roman"/>
                <w:i/>
              </w:rPr>
              <w:t xml:space="preserve"> ликвидности и стабилних извора финансирања у погледу њихове адекватности за покриће свих значајних ризика у вез</w:t>
            </w:r>
            <w:r w:rsidR="007D7173" w:rsidRPr="00596162">
              <w:rPr>
                <w:rFonts w:ascii="Times New Roman" w:hAnsi="Times New Roman" w:cs="Times New Roman"/>
                <w:i/>
              </w:rPr>
              <w:t>и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са</w:t>
            </w:r>
            <w:r w:rsidR="007D7173" w:rsidRPr="00596162">
              <w:rPr>
                <w:rFonts w:ascii="Times New Roman" w:hAnsi="Times New Roman" w:cs="Times New Roman"/>
                <w:i/>
              </w:rPr>
              <w:t xml:space="preserve"> ликвидно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шћу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банке,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оцјену адекватности стратегија, политика, процедура, методологија и процеса које банка користи у управљању ризиком ликвидности,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оцјену поступања и праксе запослених, организационих д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иј</w:t>
            </w:r>
            <w:r w:rsidRPr="00596162">
              <w:rPr>
                <w:rFonts w:ascii="Times New Roman" w:hAnsi="Times New Roman" w:cs="Times New Roman"/>
                <w:i/>
              </w:rPr>
              <w:t>елова и вишег руководства у управљању ризиком ликвидности,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оцјену система 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унутрашњих</w:t>
            </w:r>
            <w:r w:rsidRPr="00596162">
              <w:rPr>
                <w:rFonts w:ascii="Times New Roman" w:hAnsi="Times New Roman" w:cs="Times New Roman"/>
                <w:i/>
              </w:rPr>
              <w:t xml:space="preserve"> контрола.]</w:t>
            </w:r>
          </w:p>
        </w:tc>
      </w:tr>
      <w:tr w:rsidR="00E43636" w:rsidRPr="00596162" w:rsidTr="00111DFF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[Уколико су констатоване неправилности, недостаци и слабости, 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б</w:t>
            </w:r>
            <w:r w:rsidRPr="00596162">
              <w:rPr>
                <w:rFonts w:ascii="Times New Roman" w:hAnsi="Times New Roman" w:cs="Times New Roman"/>
                <w:i/>
              </w:rPr>
              <w:t>анка наводи план активности са роковима за њихово отклањање.]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E43636">
        <w:tc>
          <w:tcPr>
            <w:tcW w:w="9216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2.2. Оц</w:t>
            </w:r>
            <w:r w:rsidR="007D7173" w:rsidRPr="00596162">
              <w:rPr>
                <w:rFonts w:ascii="Times New Roman" w:hAnsi="Times New Roman" w:cs="Times New Roman"/>
                <w:b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b/>
              </w:rPr>
              <w:t xml:space="preserve">ена </w:t>
            </w:r>
            <w:r w:rsidRPr="00596162">
              <w:rPr>
                <w:rFonts w:ascii="Times New Roman" w:hAnsi="Times New Roman" w:cs="Times New Roman"/>
                <w:b/>
                <w:i/>
              </w:rPr>
              <w:t>ILAAP</w:t>
            </w:r>
            <w:r w:rsidRPr="00596162">
              <w:rPr>
                <w:rFonts w:ascii="Times New Roman" w:hAnsi="Times New Roman" w:cs="Times New Roman"/>
                <w:b/>
              </w:rPr>
              <w:t>-а</w:t>
            </w:r>
          </w:p>
        </w:tc>
      </w:tr>
      <w:tr w:rsidR="00BC26A6" w:rsidRPr="00596162" w:rsidTr="00E43636">
        <w:tc>
          <w:tcPr>
            <w:tcW w:w="9216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[Банка даје оцјену самог поступка ILAAP-а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која минимално укључује сљедеће: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ind w:left="349" w:hanging="283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596162">
              <w:rPr>
                <w:rFonts w:ascii="Times New Roman" w:hAnsi="Times New Roman" w:cs="Times New Roman"/>
                <w:i/>
                <w:spacing w:val="-4"/>
              </w:rPr>
              <w:t>оцјену поступка ILAAP-а од стране надзорног о</w:t>
            </w:r>
            <w:r w:rsidR="00E805BB" w:rsidRPr="00596162">
              <w:rPr>
                <w:rFonts w:ascii="Times New Roman" w:hAnsi="Times New Roman" w:cs="Times New Roman"/>
                <w:i/>
                <w:spacing w:val="-4"/>
              </w:rPr>
              <w:t>дбора и управе банке (н</w:t>
            </w:r>
            <w:r w:rsidR="00E805BB" w:rsidRPr="00596162">
              <w:rPr>
                <w:rFonts w:ascii="Times New Roman" w:hAnsi="Times New Roman" w:cs="Times New Roman"/>
                <w:i/>
                <w:spacing w:val="-4"/>
                <w:lang w:val="sr-Cyrl-BA"/>
              </w:rPr>
              <w:t>пр.</w:t>
            </w:r>
            <w:r w:rsidRPr="00596162">
              <w:rPr>
                <w:rFonts w:ascii="Times New Roman" w:hAnsi="Times New Roman" w:cs="Times New Roman"/>
                <w:i/>
                <w:spacing w:val="-4"/>
              </w:rPr>
              <w:t xml:space="preserve"> адекватности организационог </w:t>
            </w:r>
            <w:r w:rsidR="007D7173" w:rsidRPr="00596162">
              <w:rPr>
                <w:rFonts w:ascii="Times New Roman" w:hAnsi="Times New Roman" w:cs="Times New Roman"/>
                <w:i/>
                <w:spacing w:val="-4"/>
                <w:lang w:val="sr-Cyrl-BA"/>
              </w:rPr>
              <w:t>успостављања</w:t>
            </w:r>
            <w:r w:rsidRPr="00596162">
              <w:rPr>
                <w:rFonts w:ascii="Times New Roman" w:hAnsi="Times New Roman" w:cs="Times New Roman"/>
                <w:i/>
                <w:spacing w:val="-4"/>
              </w:rPr>
              <w:t xml:space="preserve"> ILAAP-а, функционисања ILAAP-а, припадајућих овлаштења и одговорности, линија извјештавања, провођења корективних активности и сл.),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ind w:left="349" w:hanging="283"/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налазе интерне ревизије о процјени адекватности успостављеног ILAAP-а.]</w:t>
            </w:r>
          </w:p>
        </w:tc>
      </w:tr>
      <w:tr w:rsidR="00E43636" w:rsidRPr="00596162" w:rsidTr="00E43636">
        <w:tc>
          <w:tcPr>
            <w:tcW w:w="9216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[Уколико су констатоване неправилности, недостаци и слабости, 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б</w:t>
            </w:r>
            <w:r w:rsidRPr="00596162">
              <w:rPr>
                <w:rFonts w:ascii="Times New Roman" w:hAnsi="Times New Roman" w:cs="Times New Roman"/>
                <w:i/>
              </w:rPr>
              <w:t>анка наводи план активности са роковима за њихово отклањање.]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 xml:space="preserve">ОРГАНИЗАЦИЈА </w:t>
      </w:r>
      <w:r w:rsidRPr="00596162">
        <w:rPr>
          <w:rFonts w:ascii="Times New Roman" w:hAnsi="Times New Roman" w:cs="Times New Roman"/>
          <w:b/>
          <w:i/>
        </w:rPr>
        <w:t>ILAAP</w:t>
      </w:r>
      <w:r w:rsidRPr="00596162">
        <w:rPr>
          <w:rFonts w:ascii="Times New Roman" w:hAnsi="Times New Roman" w:cs="Times New Roman"/>
          <w:b/>
        </w:rPr>
        <w:t xml:space="preserve">-А И НАДЗОР НАД </w:t>
      </w:r>
      <w:r w:rsidRPr="00596162">
        <w:rPr>
          <w:rFonts w:ascii="Times New Roman" w:hAnsi="Times New Roman" w:cs="Times New Roman"/>
          <w:b/>
          <w:i/>
        </w:rPr>
        <w:t>ILAAP</w:t>
      </w:r>
      <w:r w:rsidRPr="00596162">
        <w:rPr>
          <w:rFonts w:ascii="Times New Roman" w:hAnsi="Times New Roman" w:cs="Times New Roman"/>
          <w:b/>
        </w:rPr>
        <w:t>-ОМ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111DFF">
        <w:tc>
          <w:tcPr>
            <w:tcW w:w="9211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 xml:space="preserve">3.1. Организација </w:t>
            </w:r>
            <w:r w:rsidRPr="00596162">
              <w:rPr>
                <w:rFonts w:ascii="Times New Roman" w:hAnsi="Times New Roman" w:cs="Times New Roman"/>
                <w:b/>
                <w:i/>
              </w:rPr>
              <w:t>ILAAP</w:t>
            </w:r>
            <w:r w:rsidRPr="00596162">
              <w:rPr>
                <w:rFonts w:ascii="Times New Roman" w:hAnsi="Times New Roman" w:cs="Times New Roman"/>
                <w:b/>
              </w:rPr>
              <w:t>-а</w:t>
            </w:r>
            <w:r w:rsidR="0032281C" w:rsidRPr="005961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3636" w:rsidRPr="00596162" w:rsidTr="00111DFF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[Банка даје</w:t>
            </w:r>
            <w:r w:rsidR="0032281C" w:rsidRPr="00596162">
              <w:rPr>
                <w:rFonts w:ascii="Times New Roman" w:hAnsi="Times New Roman" w:cs="Times New Roman"/>
                <w:i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опис организације поступка ILAAP-а укључујући и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врсте и обима активности које се проводе у оквиру ILAAP-а,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опис организационог 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успостављања </w:t>
            </w:r>
            <w:r w:rsidRPr="00596162">
              <w:rPr>
                <w:rFonts w:ascii="Times New Roman" w:hAnsi="Times New Roman" w:cs="Times New Roman"/>
                <w:i/>
              </w:rPr>
              <w:t>ILAAP-а заједно са детаљном организационом шемом и описом позиција и припадајућих обавеза и одговорности руководних органа банке, одбора, вишег руководства и организационих јединица банке,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линија извјештавања у оквиру ILAAP-а са припадајућим дијаграмом,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колико често се проводи ILAAP са прегледом и описом фактора од којих то зависи,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овлаштења и одговорности контролних функција у ILAAP-у,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начина утврђивања и провођења корективних радњи на основу резултата ILAAP-а,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начина на који је банка обезбиједила укључивање ILAAP-а у све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>обух</w:t>
            </w:r>
            <w:r w:rsidR="00336656" w:rsidRPr="00596162">
              <w:rPr>
                <w:rFonts w:ascii="Times New Roman" w:hAnsi="Times New Roman" w:cs="Times New Roman"/>
                <w:i/>
                <w:lang w:val="sr-Cyrl-BA"/>
              </w:rPr>
              <w:t>в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>атни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систем </w:t>
            </w:r>
            <w:r w:rsidRPr="00596162">
              <w:rPr>
                <w:rFonts w:ascii="Times New Roman" w:hAnsi="Times New Roman" w:cs="Times New Roman"/>
                <w:i/>
              </w:rPr>
              <w:t>управљањ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>а</w:t>
            </w:r>
            <w:r w:rsidR="00675BA8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у </w:t>
            </w:r>
            <w:r w:rsidRPr="00596162">
              <w:rPr>
                <w:rFonts w:ascii="Times New Roman" w:hAnsi="Times New Roman" w:cs="Times New Roman"/>
                <w:i/>
              </w:rPr>
              <w:t>бан</w:t>
            </w:r>
            <w:r w:rsidR="00C00181" w:rsidRPr="00596162">
              <w:rPr>
                <w:rFonts w:ascii="Times New Roman" w:hAnsi="Times New Roman" w:cs="Times New Roman"/>
                <w:i/>
                <w:lang w:val="sr-Cyrl-BA"/>
              </w:rPr>
              <w:t>ци</w:t>
            </w:r>
            <w:r w:rsidRPr="00596162">
              <w:rPr>
                <w:rFonts w:ascii="Times New Roman" w:hAnsi="Times New Roman" w:cs="Times New Roman"/>
                <w:i/>
              </w:rPr>
              <w:t>, наводећи при томе нарочито каква је повезница са стратешким и пословним планирањем, финансијским плановима банке, плановима опоравка</w:t>
            </w:r>
            <w:r w:rsidR="00C00181" w:rsidRPr="00596162">
              <w:rPr>
                <w:rStyle w:val="FootnoteReference"/>
                <w:rFonts w:ascii="Times New Roman" w:hAnsi="Times New Roman" w:cs="Times New Roman"/>
                <w:i/>
              </w:rPr>
              <w:footnoteReference w:id="1"/>
            </w:r>
            <w:r w:rsidRPr="00596162">
              <w:rPr>
                <w:rFonts w:ascii="Times New Roman" w:hAnsi="Times New Roman" w:cs="Times New Roman"/>
                <w:i/>
              </w:rPr>
              <w:t>, интерним извјештавањем, доношењем пословних одлука и свакодневним оперативним активностима банке</w:t>
            </w:r>
            <w:r w:rsidR="009960E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које имају за посљедицу преузимање ризика.]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E43636">
        <w:tc>
          <w:tcPr>
            <w:tcW w:w="9576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 xml:space="preserve">3.2. Надзор над </w:t>
            </w:r>
            <w:r w:rsidRPr="00596162">
              <w:rPr>
                <w:rFonts w:ascii="Times New Roman" w:hAnsi="Times New Roman" w:cs="Times New Roman"/>
                <w:b/>
                <w:i/>
              </w:rPr>
              <w:t>ILAAP</w:t>
            </w:r>
            <w:r w:rsidRPr="00596162">
              <w:rPr>
                <w:rFonts w:ascii="Times New Roman" w:hAnsi="Times New Roman" w:cs="Times New Roman"/>
                <w:b/>
              </w:rPr>
              <w:t>-ом</w:t>
            </w:r>
          </w:p>
        </w:tc>
      </w:tr>
      <w:tr w:rsidR="00E43636" w:rsidRPr="00596162" w:rsidTr="00E43636">
        <w:tc>
          <w:tcPr>
            <w:tcW w:w="9576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[Банка даје опис надзора над поступком ILAAP-а укључујући и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начина вршења надзора над поступком ILAAP-а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односно процјене о његовој адекватности од стране надзорног одбора и управе банке,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начина вршења надзора над поступком ILAAP-а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односно процјене о његовој адекватности од стране вишег руководства, посебно формираних одбора и других стручних тијела укључених у надзор и процјену ILAAP-а у банци, 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начина вршења надзора над поступком ILAAP-а</w:t>
            </w:r>
            <w:r w:rsidR="007D7173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односно процјене о његовој адекватности од стране интерне ревизије и других контролних функција.]</w:t>
            </w:r>
          </w:p>
        </w:tc>
      </w:tr>
    </w:tbl>
    <w:p w:rsidR="00111DFF" w:rsidRPr="00596162" w:rsidRDefault="00111DFF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  <w:sectPr w:rsidR="00111DFF" w:rsidRPr="00596162" w:rsidSect="009C0867">
          <w:pgSz w:w="11907" w:h="16840" w:code="9"/>
          <w:pgMar w:top="1134" w:right="1134" w:bottom="851" w:left="1418" w:header="567" w:footer="397" w:gutter="0"/>
          <w:cols w:space="720"/>
          <w:docGrid w:linePitch="360"/>
        </w:sectPr>
      </w:pPr>
    </w:p>
    <w:p w:rsidR="00E43636" w:rsidRPr="00596162" w:rsidRDefault="00E43636" w:rsidP="00273AF3">
      <w:pPr>
        <w:keepNext/>
        <w:keepLines/>
        <w:numPr>
          <w:ilvl w:val="0"/>
          <w:numId w:val="2"/>
        </w:numPr>
        <w:spacing w:after="120" w:line="24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lang w:val="hr-HR"/>
        </w:rPr>
      </w:pPr>
      <w:r w:rsidRPr="00596162">
        <w:rPr>
          <w:rFonts w:ascii="Times New Roman" w:eastAsia="Times New Roman" w:hAnsi="Times New Roman" w:cs="Times New Roman"/>
          <w:b/>
          <w:bCs/>
          <w:lang w:val="hr-HR"/>
        </w:rPr>
        <w:lastRenderedPageBreak/>
        <w:t>УТВРЂИВАЊЕ ЗНАЧАЈНИХ РИЗИКА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3"/>
      </w:tblGrid>
      <w:tr w:rsidR="00BC26A6" w:rsidRPr="00596162" w:rsidTr="001A73E6">
        <w:tc>
          <w:tcPr>
            <w:tcW w:w="9193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596162">
              <w:rPr>
                <w:rFonts w:ascii="Times New Roman" w:eastAsia="Calibri" w:hAnsi="Times New Roman" w:cs="Times New Roman"/>
                <w:b/>
                <w:lang w:val="hr-HR"/>
              </w:rPr>
              <w:t xml:space="preserve">4.1. Ризици којима је банка изложена или би могла бити изложена </w:t>
            </w:r>
          </w:p>
        </w:tc>
      </w:tr>
      <w:tr w:rsidR="00BC26A6" w:rsidRPr="00596162" w:rsidTr="001A73E6">
        <w:tc>
          <w:tcPr>
            <w:tcW w:w="9193" w:type="dxa"/>
          </w:tcPr>
          <w:p w:rsidR="00E43636" w:rsidRPr="00596162" w:rsidRDefault="00E43636" w:rsidP="00273AF3">
            <w:pPr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596162">
              <w:rPr>
                <w:rFonts w:ascii="Times New Roman" w:eastAsia="Calibri" w:hAnsi="Times New Roman" w:cs="Times New Roman"/>
                <w:i/>
                <w:lang w:val="hr-HR"/>
              </w:rPr>
              <w:t>[Банка описује начин и динамику</w:t>
            </w:r>
            <w:r w:rsidR="0032281C" w:rsidRPr="00596162">
              <w:rPr>
                <w:rFonts w:ascii="Times New Roman" w:eastAsia="Calibri" w:hAnsi="Times New Roman" w:cs="Times New Roman"/>
                <w:i/>
                <w:lang w:val="hr-HR"/>
              </w:rPr>
              <w:t xml:space="preserve"> </w:t>
            </w:r>
            <w:r w:rsidRPr="00596162">
              <w:rPr>
                <w:rFonts w:ascii="Times New Roman" w:eastAsia="Calibri" w:hAnsi="Times New Roman" w:cs="Times New Roman"/>
                <w:i/>
                <w:lang w:val="hr-HR"/>
              </w:rPr>
              <w:t>идентификовања ризика, те наводи и образлаже факторе које је узела у обзир приликом тог поступка.]</w:t>
            </w:r>
          </w:p>
        </w:tc>
      </w:tr>
      <w:tr w:rsidR="00BC26A6" w:rsidRPr="00596162" w:rsidTr="001A73E6">
        <w:tc>
          <w:tcPr>
            <w:tcW w:w="9193" w:type="dxa"/>
          </w:tcPr>
          <w:p w:rsidR="00E43636" w:rsidRPr="00596162" w:rsidRDefault="00E43636" w:rsidP="00273AF3">
            <w:pPr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596162">
              <w:rPr>
                <w:rFonts w:ascii="Times New Roman" w:eastAsia="Calibri" w:hAnsi="Times New Roman" w:cs="Times New Roman"/>
                <w:i/>
                <w:lang w:val="hr-HR"/>
              </w:rPr>
              <w:t xml:space="preserve">[Банка наводи ризике којима је изложена, те наводи укључује ли дефиниција одређеног ризика </w:t>
            </w:r>
            <w:r w:rsidR="00F619D3" w:rsidRPr="00596162">
              <w:rPr>
                <w:rFonts w:ascii="Times New Roman" w:eastAsia="Calibri" w:hAnsi="Times New Roman" w:cs="Times New Roman"/>
                <w:i/>
                <w:lang w:val="sr-Cyrl-BA"/>
              </w:rPr>
              <w:t>и</w:t>
            </w:r>
            <w:r w:rsidRPr="00596162">
              <w:rPr>
                <w:rFonts w:ascii="Times New Roman" w:eastAsia="Calibri" w:hAnsi="Times New Roman" w:cs="Times New Roman"/>
                <w:i/>
                <w:lang w:val="hr-HR"/>
              </w:rPr>
              <w:t xml:space="preserve"> одређене подскупове ризика (Табела 1.]</w:t>
            </w:r>
          </w:p>
        </w:tc>
      </w:tr>
      <w:tr w:rsidR="00E43636" w:rsidRPr="00596162" w:rsidTr="001A73E6">
        <w:tc>
          <w:tcPr>
            <w:tcW w:w="9193" w:type="dxa"/>
          </w:tcPr>
          <w:p w:rsidR="00E43636" w:rsidRPr="00596162" w:rsidRDefault="007D7173" w:rsidP="00273AF3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596162">
              <w:rPr>
                <w:rFonts w:ascii="Times New Roman" w:eastAsia="Calibri" w:hAnsi="Times New Roman" w:cs="Times New Roman"/>
                <w:i/>
                <w:lang w:val="hr-HR"/>
              </w:rPr>
              <w:t>[Банка наводи</w:t>
            </w:r>
            <w:r w:rsidR="00E43636" w:rsidRPr="00596162">
              <w:rPr>
                <w:rFonts w:ascii="Times New Roman" w:eastAsia="Calibri" w:hAnsi="Times New Roman" w:cs="Times New Roman"/>
                <w:i/>
                <w:lang w:val="hr-HR"/>
              </w:rPr>
              <w:t xml:space="preserve"> интерне акте у којима је дефинисала ризике, те поступке за израду списка ризика којима је изложена или би могла бити изложена.]</w:t>
            </w:r>
          </w:p>
        </w:tc>
      </w:tr>
    </w:tbl>
    <w:p w:rsidR="00E43636" w:rsidRPr="00596162" w:rsidRDefault="00E43636" w:rsidP="00273AF3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E43636" w:rsidRPr="00596162" w:rsidRDefault="00675BA8" w:rsidP="00273AF3">
      <w:pPr>
        <w:keepNext/>
        <w:keepLines/>
        <w:widowControl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lang w:val="hr-HR"/>
        </w:rPr>
      </w:pPr>
      <w:r w:rsidRPr="00596162">
        <w:rPr>
          <w:rFonts w:ascii="Times New Roman" w:eastAsiaTheme="majorEastAsia" w:hAnsi="Times New Roman" w:cs="Times New Roman"/>
          <w:b/>
          <w:lang w:val="hr-HR"/>
        </w:rPr>
        <w:t xml:space="preserve">  </w:t>
      </w:r>
      <w:r w:rsidR="00E43636" w:rsidRPr="00596162">
        <w:rPr>
          <w:rFonts w:ascii="Times New Roman" w:eastAsiaTheme="majorEastAsia" w:hAnsi="Times New Roman" w:cs="Times New Roman"/>
          <w:b/>
          <w:lang w:val="hr-HR"/>
        </w:rPr>
        <w:t>Табела 1. Списак ризика којима је банка изложена или би могла бити изложена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89"/>
        <w:gridCol w:w="7304"/>
      </w:tblGrid>
      <w:tr w:rsidR="00BC26A6" w:rsidRPr="00596162" w:rsidTr="00E43636">
        <w:tc>
          <w:tcPr>
            <w:tcW w:w="1890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Ризик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Дефиниција ризика</w:t>
            </w:r>
          </w:p>
        </w:tc>
      </w:tr>
      <w:tr w:rsidR="00BC26A6" w:rsidRPr="00596162" w:rsidTr="00E43636">
        <w:tc>
          <w:tcPr>
            <w:tcW w:w="1890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C26A6" w:rsidRPr="00596162" w:rsidTr="00E43636">
        <w:tc>
          <w:tcPr>
            <w:tcW w:w="1890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43636" w:rsidRPr="00596162" w:rsidTr="00E43636">
        <w:tc>
          <w:tcPr>
            <w:tcW w:w="1890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619D3" w:rsidRPr="00596162" w:rsidRDefault="00F619D3" w:rsidP="00273AF3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3"/>
      </w:tblGrid>
      <w:tr w:rsidR="00BC26A6" w:rsidRPr="00596162" w:rsidTr="00E43636">
        <w:tc>
          <w:tcPr>
            <w:tcW w:w="9198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rPr>
                <w:rFonts w:ascii="Times New Roman" w:eastAsia="Calibri" w:hAnsi="Times New Roman" w:cs="Times New Roman"/>
              </w:rPr>
            </w:pPr>
            <w:r w:rsidRPr="00596162">
              <w:rPr>
                <w:rFonts w:ascii="Times New Roman" w:eastAsia="Calibri" w:hAnsi="Times New Roman" w:cs="Times New Roman"/>
                <w:b/>
              </w:rPr>
              <w:t xml:space="preserve">4.2. Ризични профил и значајност ризика </w:t>
            </w:r>
          </w:p>
        </w:tc>
      </w:tr>
      <w:tr w:rsidR="00BC26A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rPr>
                <w:rFonts w:ascii="Times New Roman" w:eastAsia="Calibri" w:hAnsi="Times New Roman" w:cs="Times New Roman"/>
                <w:i/>
              </w:rPr>
            </w:pPr>
            <w:r w:rsidRPr="00596162">
              <w:rPr>
                <w:rFonts w:ascii="Times New Roman" w:eastAsia="Calibri" w:hAnsi="Times New Roman" w:cs="Times New Roman"/>
                <w:i/>
              </w:rPr>
              <w:t>[Банка описује начин утврђивања значајности ризика.]</w:t>
            </w:r>
            <w:r w:rsidR="00675BA8" w:rsidRPr="0059616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C26A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ind w:right="-108"/>
              <w:rPr>
                <w:rFonts w:ascii="Times New Roman" w:eastAsia="Calibri" w:hAnsi="Times New Roman" w:cs="Times New Roman"/>
                <w:i/>
              </w:rPr>
            </w:pPr>
            <w:r w:rsidRPr="00596162">
              <w:rPr>
                <w:rFonts w:ascii="Times New Roman" w:eastAsia="Calibri" w:hAnsi="Times New Roman" w:cs="Times New Roman"/>
                <w:i/>
              </w:rPr>
              <w:t>[Банка наводи</w:t>
            </w:r>
            <w:r w:rsidR="0032281C" w:rsidRPr="0059616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96162">
              <w:rPr>
                <w:rFonts w:ascii="Times New Roman" w:eastAsia="Calibri" w:hAnsi="Times New Roman" w:cs="Times New Roman"/>
                <w:i/>
              </w:rPr>
              <w:t>факторе на основу којих се утврђује значајност ризика, те описује начин процјењивања фактора ризика.]</w:t>
            </w:r>
          </w:p>
        </w:tc>
      </w:tr>
      <w:tr w:rsidR="00E4363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i/>
              </w:rPr>
            </w:pPr>
            <w:r w:rsidRPr="00596162">
              <w:rPr>
                <w:rFonts w:ascii="Times New Roman" w:eastAsia="Calibri" w:hAnsi="Times New Roman" w:cs="Times New Roman"/>
                <w:i/>
              </w:rPr>
              <w:t>[Банка наводи значајне ризике (Табела 2) и ризике који нису значајни, уз навођење разлога због којих сматра да изложеност банке тим ризицима није значајна (Табела 3).]</w:t>
            </w:r>
          </w:p>
        </w:tc>
      </w:tr>
    </w:tbl>
    <w:p w:rsidR="00E43636" w:rsidRPr="00596162" w:rsidRDefault="00E43636" w:rsidP="00273AF3">
      <w:pPr>
        <w:spacing w:after="0" w:line="240" w:lineRule="auto"/>
        <w:rPr>
          <w:rFonts w:ascii="Times New Roman" w:hAnsi="Times New Roman" w:cs="Times New Roman"/>
        </w:rPr>
      </w:pPr>
    </w:p>
    <w:p w:rsidR="00E43636" w:rsidRPr="00596162" w:rsidRDefault="00675BA8" w:rsidP="00273AF3">
      <w:pPr>
        <w:keepNext/>
        <w:keepLines/>
        <w:widowControl w:val="0"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lang w:val="hr-HR"/>
        </w:rPr>
      </w:pPr>
      <w:r w:rsidRPr="00596162">
        <w:rPr>
          <w:rFonts w:ascii="Times New Roman" w:eastAsiaTheme="majorEastAsia" w:hAnsi="Times New Roman" w:cs="Times New Roman"/>
          <w:b/>
          <w:lang w:val="hr-HR"/>
        </w:rPr>
        <w:t xml:space="preserve">  </w:t>
      </w:r>
      <w:r w:rsidR="00E43636" w:rsidRPr="00596162">
        <w:rPr>
          <w:rFonts w:ascii="Times New Roman" w:eastAsiaTheme="majorEastAsia" w:hAnsi="Times New Roman" w:cs="Times New Roman"/>
          <w:b/>
          <w:lang w:val="hr-HR"/>
        </w:rPr>
        <w:t xml:space="preserve"> Табела 2. Значајни ризици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65"/>
        <w:gridCol w:w="1675"/>
        <w:gridCol w:w="2932"/>
      </w:tblGrid>
      <w:tr w:rsidR="00BC26A6" w:rsidRPr="00596162" w:rsidTr="00452F7A">
        <w:trPr>
          <w:trHeight w:val="255"/>
        </w:trPr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:rsidR="00452F7A" w:rsidRPr="00596162" w:rsidRDefault="00452F7A" w:rsidP="00273A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162">
              <w:rPr>
                <w:rFonts w:ascii="Times New Roman" w:eastAsia="Calibri" w:hAnsi="Times New Roman" w:cs="Times New Roman"/>
                <w:b/>
              </w:rPr>
              <w:t>Значајни ризици</w:t>
            </w:r>
          </w:p>
        </w:tc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:rsidR="00452F7A" w:rsidRPr="00596162" w:rsidRDefault="00452F7A" w:rsidP="00273A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162">
              <w:rPr>
                <w:rFonts w:ascii="Times New Roman" w:eastAsia="Calibri" w:hAnsi="Times New Roman" w:cs="Times New Roman"/>
                <w:b/>
              </w:rPr>
              <w:t>Оцјена значајности ризика</w:t>
            </w:r>
          </w:p>
        </w:tc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452F7A" w:rsidRPr="00596162" w:rsidRDefault="00452F7A" w:rsidP="00273A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162">
              <w:rPr>
                <w:rFonts w:ascii="Times New Roman" w:eastAsia="Calibri" w:hAnsi="Times New Roman" w:cs="Times New Roman"/>
                <w:b/>
              </w:rPr>
              <w:t>Образложење оцјене значајности ризика</w:t>
            </w:r>
          </w:p>
        </w:tc>
      </w:tr>
      <w:tr w:rsidR="00BC26A6" w:rsidRPr="00596162" w:rsidTr="00452F7A">
        <w:trPr>
          <w:trHeight w:val="255"/>
        </w:trPr>
        <w:tc>
          <w:tcPr>
            <w:tcW w:w="1165" w:type="dxa"/>
            <w:vMerge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</w:tr>
      <w:tr w:rsidR="00BC26A6" w:rsidRPr="00596162" w:rsidTr="00452F7A">
        <w:tc>
          <w:tcPr>
            <w:tcW w:w="1165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</w:tr>
      <w:tr w:rsidR="00452F7A" w:rsidRPr="00596162" w:rsidTr="00452F7A">
        <w:tc>
          <w:tcPr>
            <w:tcW w:w="1165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452F7A" w:rsidRPr="00596162" w:rsidRDefault="00452F7A" w:rsidP="00273AF3">
            <w:pPr>
              <w:rPr>
                <w:rFonts w:ascii="Times New Roman" w:hAnsi="Times New Roman" w:cs="Times New Roman"/>
              </w:rPr>
            </w:pPr>
          </w:p>
        </w:tc>
      </w:tr>
    </w:tbl>
    <w:p w:rsidR="00E43636" w:rsidRPr="00596162" w:rsidRDefault="00E43636" w:rsidP="00273AF3">
      <w:pPr>
        <w:keepNext/>
        <w:keepLines/>
        <w:widowControl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lang w:val="hr-HR"/>
        </w:rPr>
      </w:pPr>
    </w:p>
    <w:p w:rsidR="00E43636" w:rsidRPr="00596162" w:rsidRDefault="00675BA8" w:rsidP="00273AF3">
      <w:pPr>
        <w:keepNext/>
        <w:keepLines/>
        <w:widowControl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lang w:val="hr-HR"/>
        </w:rPr>
      </w:pPr>
      <w:r w:rsidRPr="00596162">
        <w:rPr>
          <w:rFonts w:ascii="Times New Roman" w:eastAsiaTheme="majorEastAsia" w:hAnsi="Times New Roman" w:cs="Times New Roman"/>
          <w:b/>
          <w:lang w:val="hr-HR"/>
        </w:rPr>
        <w:t xml:space="preserve">  </w:t>
      </w:r>
      <w:r w:rsidR="00E43636" w:rsidRPr="00596162">
        <w:rPr>
          <w:rFonts w:ascii="Times New Roman" w:eastAsiaTheme="majorEastAsia" w:hAnsi="Times New Roman" w:cs="Times New Roman"/>
          <w:b/>
          <w:lang w:val="hr-HR"/>
        </w:rPr>
        <w:t xml:space="preserve"> Табела 3. Ризици који нису значајни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29"/>
        <w:gridCol w:w="6764"/>
      </w:tblGrid>
      <w:tr w:rsidR="00BC26A6" w:rsidRPr="00596162" w:rsidTr="00E43636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43636" w:rsidRPr="00596162" w:rsidRDefault="00E43636" w:rsidP="00273AF3">
            <w:pPr>
              <w:ind w:left="-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162">
              <w:rPr>
                <w:rFonts w:ascii="Times New Roman" w:eastAsia="Calibri" w:hAnsi="Times New Roman" w:cs="Times New Roman"/>
                <w:b/>
              </w:rPr>
              <w:t>Ризици који нису значајни</w:t>
            </w:r>
          </w:p>
        </w:tc>
        <w:tc>
          <w:tcPr>
            <w:tcW w:w="6768" w:type="dxa"/>
            <w:shd w:val="clear" w:color="auto" w:fill="D9D9D9" w:themeFill="background1" w:themeFillShade="D9"/>
            <w:vAlign w:val="center"/>
          </w:tcPr>
          <w:p w:rsidR="00E43636" w:rsidRPr="00596162" w:rsidRDefault="00E43636" w:rsidP="00273AF3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96162">
              <w:rPr>
                <w:rFonts w:ascii="Times New Roman" w:eastAsia="Calibri" w:hAnsi="Times New Roman" w:cs="Times New Roman"/>
                <w:b/>
                <w:lang w:val="de-DE"/>
              </w:rPr>
              <w:t xml:space="preserve">Образложење разлога због којих банка сматра да </w:t>
            </w:r>
          </w:p>
          <w:p w:rsidR="00E43636" w:rsidRPr="00596162" w:rsidRDefault="00E43636" w:rsidP="00273AF3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96162">
              <w:rPr>
                <w:rFonts w:ascii="Times New Roman" w:eastAsia="Calibri" w:hAnsi="Times New Roman" w:cs="Times New Roman"/>
                <w:b/>
                <w:lang w:val="de-DE"/>
              </w:rPr>
              <w:t>изложеност тим ризицима није значајна</w:t>
            </w:r>
          </w:p>
        </w:tc>
      </w:tr>
      <w:tr w:rsidR="00BC26A6" w:rsidRPr="00596162" w:rsidTr="00E43636">
        <w:tc>
          <w:tcPr>
            <w:tcW w:w="2430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76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43636" w:rsidRPr="00596162" w:rsidTr="00E43636">
        <w:tc>
          <w:tcPr>
            <w:tcW w:w="2430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76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480743" w:rsidRPr="00596162" w:rsidRDefault="00480743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de-DE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>МЕТОДОЛОГИЈЕ ЗА КВАНТИФИКОВАЊЕ РИЗИКА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3"/>
      </w:tblGrid>
      <w:tr w:rsidR="00BC26A6" w:rsidRPr="00596162" w:rsidTr="001A73E6">
        <w:tc>
          <w:tcPr>
            <w:tcW w:w="9193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5.1. Методологије за одређивање интерних ликвидносних захтјева</w:t>
            </w:r>
          </w:p>
        </w:tc>
      </w:tr>
      <w:tr w:rsidR="00BC26A6" w:rsidRPr="00596162" w:rsidTr="001A73E6">
        <w:tc>
          <w:tcPr>
            <w:tcW w:w="9193" w:type="dxa"/>
          </w:tcPr>
          <w:p w:rsidR="00E43636" w:rsidRPr="00596162" w:rsidRDefault="00820232" w:rsidP="00273AF3">
            <w:pPr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[Навести да ли банка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="00E43636" w:rsidRPr="00596162">
              <w:rPr>
                <w:rFonts w:ascii="Times New Roman" w:hAnsi="Times New Roman" w:cs="Times New Roman"/>
                <w:i/>
              </w:rPr>
              <w:t>за рачунање интерних ликвидносних захтјева у ILAAP-у користи методологије прописане за рачунање минималних ликвидносних захтјева или властите методологије.]</w:t>
            </w:r>
          </w:p>
        </w:tc>
      </w:tr>
      <w:tr w:rsidR="00E43636" w:rsidRPr="00596162" w:rsidTr="001A73E6">
        <w:tc>
          <w:tcPr>
            <w:tcW w:w="9193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[Уколико банка користи властите методологије, навести разлике између </w:t>
            </w:r>
            <w:r w:rsidR="00103EA6" w:rsidRPr="00596162">
              <w:rPr>
                <w:rFonts w:ascii="Times New Roman" w:hAnsi="Times New Roman" w:cs="Times New Roman"/>
                <w:i/>
              </w:rPr>
              <w:t>кориш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ћ</w:t>
            </w:r>
            <w:r w:rsidRPr="00596162">
              <w:rPr>
                <w:rFonts w:ascii="Times New Roman" w:hAnsi="Times New Roman" w:cs="Times New Roman"/>
                <w:i/>
              </w:rPr>
              <w:t xml:space="preserve">ених 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и </w:t>
            </w:r>
            <w:r w:rsidRPr="00596162">
              <w:rPr>
                <w:rFonts w:ascii="Times New Roman" w:hAnsi="Times New Roman" w:cs="Times New Roman"/>
                <w:i/>
              </w:rPr>
              <w:t>методологија и прописаних методологија.]</w:t>
            </w:r>
          </w:p>
        </w:tc>
      </w:tr>
    </w:tbl>
    <w:p w:rsidR="00E43636" w:rsidRPr="00596162" w:rsidRDefault="00E43636" w:rsidP="00273A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3"/>
      </w:tblGrid>
      <w:tr w:rsidR="00BC26A6" w:rsidRPr="00596162" w:rsidTr="00E43636">
        <w:tc>
          <w:tcPr>
            <w:tcW w:w="9198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5.2. Одређивање интерних ликвидносних захтјева</w:t>
            </w:r>
          </w:p>
        </w:tc>
      </w:tr>
      <w:tr w:rsidR="00BC26A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[Описати начин одређивања интерних ликвидносних захтјева за ризике који подлијежу прописаним минималним ликвидносним захтјевима.] </w:t>
            </w:r>
          </w:p>
        </w:tc>
      </w:tr>
      <w:tr w:rsidR="00BC26A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[Описати начин одређивања интерних ликвидносних захтјева за значајне ризике који не подлијежу прописаним минималним ликвидносним захтјевима.] </w:t>
            </w:r>
          </w:p>
        </w:tc>
      </w:tr>
      <w:tr w:rsidR="00E43636" w:rsidRPr="00596162" w:rsidTr="00E43636">
        <w:tc>
          <w:tcPr>
            <w:tcW w:w="9198" w:type="dxa"/>
          </w:tcPr>
          <w:p w:rsidR="00E43636" w:rsidRPr="00596162" w:rsidRDefault="00E43636" w:rsidP="00273AF3">
            <w:pPr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[Описати начин одређивања интерних ликвидносних захтјева укључивањем резулта</w:t>
            </w:r>
            <w:r w:rsidR="00F619D3" w:rsidRPr="00596162">
              <w:rPr>
                <w:rFonts w:ascii="Times New Roman" w:hAnsi="Times New Roman" w:cs="Times New Roman"/>
                <w:i/>
              </w:rPr>
              <w:t>та тестирања отпорности на стре</w:t>
            </w:r>
            <w:r w:rsidRPr="00596162">
              <w:rPr>
                <w:rFonts w:ascii="Times New Roman" w:hAnsi="Times New Roman" w:cs="Times New Roman"/>
                <w:i/>
              </w:rPr>
              <w:t xml:space="preserve">с.] </w:t>
            </w:r>
          </w:p>
        </w:tc>
      </w:tr>
    </w:tbl>
    <w:p w:rsidR="00F619D3" w:rsidRPr="00596162" w:rsidRDefault="00F619D3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lastRenderedPageBreak/>
        <w:t>ИНФОРМАЦИЈЕ О ОКВИРУ ЗА УПРАВЉАЊЕ РИЗИКОМ ЛИКВИДНОСТИ И РИЗИКОМ ИЗВОРА ФИНАНСИРАЊА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обухвата ILAAP-а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преглед и објашњења свих одступања у односу на </w:t>
            </w:r>
            <w:r w:rsidR="00336656" w:rsidRPr="00596162">
              <w:rPr>
                <w:rFonts w:ascii="Times New Roman" w:hAnsi="Times New Roman" w:cs="Times New Roman"/>
                <w:i/>
                <w:lang w:val="sr-Cyrl-RS"/>
              </w:rPr>
              <w:t xml:space="preserve">ризике </w:t>
            </w:r>
            <w:r w:rsidR="00621417" w:rsidRPr="00596162">
              <w:rPr>
                <w:rFonts w:ascii="Times New Roman" w:hAnsi="Times New Roman" w:cs="Times New Roman"/>
                <w:i/>
              </w:rPr>
              <w:t>којима је изложена или би могла бити изложена у свом пословању</w:t>
            </w:r>
            <w:r w:rsidR="00103EA6" w:rsidRPr="00596162">
              <w:rPr>
                <w:rFonts w:ascii="Times New Roman" w:hAnsi="Times New Roman" w:cs="Times New Roman"/>
                <w:lang w:val="sr-Cyrl-BA"/>
              </w:rPr>
              <w:t>,</w:t>
            </w:r>
          </w:p>
          <w:p w:rsidR="00E43636" w:rsidRPr="00596162" w:rsidRDefault="00452F7A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успостављеног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ILAAP-а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уз објашњење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односа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између свих његових компонен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а</w:t>
            </w:r>
            <w:r w:rsidR="00103EA6" w:rsidRPr="00596162">
              <w:rPr>
                <w:rFonts w:ascii="Times New Roman" w:hAnsi="Times New Roman" w:cs="Times New Roman"/>
                <w:i/>
                <w:lang w:val="de-DE"/>
              </w:rPr>
              <w:t>т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а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и образложење како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се описаним процесом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обезбјеђује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адекватна ликвидност банке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>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критеријуме које банка примјењује за избор значајних фактора ризика ликвидности и извора финансирања, укључујући избор значајних валута за праћење позиција ликвидности и извора финансирања,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критеријуме које банка примјењује за избор одговарајућих метода и претпоставки у ILAAP-у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као што је метод мјерења и пројектовања садашњих и будућих готовинских токова имовине, обавеза и ванбилансних ставки током одређених временских периода,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оцјену токова ликвидности и позиција извора финансирања унутар групе, укључујући евентуална правна или регулаторна ограничења за трансфер ликвидности у оквиру групе,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образложење за избор значајних фактора ризика и квантитативни преглед ових фактора ризика који се периодично ажурира,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квантитативни преглед профила извора финансирања и његов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стабилност у свим значајним валутама,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доказ о праћењу усклађености са минималним и додатним </w:t>
            </w:r>
            <w:r w:rsidR="00452F7A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регулаторним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захтјевима у вези са ризицима ликвидности и извора финансирања, укључујући и проц</w:t>
            </w:r>
            <w:r w:rsidR="00F619D3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ену усклађености са овим захтјевима у различитим сценаријима и у одређеним временским периодима које обухвата ILAAP.] </w:t>
            </w:r>
          </w:p>
        </w:tc>
      </w:tr>
    </w:tbl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A73E6" w:rsidRPr="00596162" w:rsidRDefault="001A73E6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 xml:space="preserve">ИНФОРМАЦИЈЕ О СТРАТЕГИЈИ И ПЛАНУ ИЗВОРА ФИНАНСИРАЊА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1A73E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плана извора финансирања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врсте извора финансирања, рочност, кључна тржишта, кориш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ћ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ене производе и сл.,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одржавање присутности на тржиштима у циљу обезбјеђивања и периодичног тестирања приступа тржишту и капацитета банке за прибављање нових извора финансирања,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ризика концентрације извора финансирања, укључујући принципе за мјерење и праћење корелације између извора финансирања и економске везе депонената и других повјерилаца,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извора финансирања у страним валутама, укључујући најрелевантније претпоставке у вези са доступношћу и конвертибилношћу ових валута,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важећи план извора финансирања,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квантитативни преглед карактеристика као што су износи, цијене и заинтересованост инвеститора код посљедњих прибављања извора финансирања и анализа могућности извршења плана извора финансирања узимајући у обзир волатилност тржишта,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96162">
              <w:rPr>
                <w:rFonts w:ascii="Times New Roman" w:hAnsi="Times New Roman" w:cs="Times New Roman"/>
                <w:i/>
              </w:rPr>
              <w:t>пројекциј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позиције извора финансирања у сљедеће три године,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оцјен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позиције извора финансирања и ризика извора финансирања након извршења плана извора финансирања,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резултат</w:t>
            </w:r>
            <w:r w:rsidR="00820232" w:rsidRPr="00596162">
              <w:rPr>
                <w:rFonts w:ascii="Times New Roman" w:hAnsi="Times New Roman" w:cs="Times New Roman"/>
                <w:i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i/>
              </w:rPr>
              <w:t xml:space="preserve"> ретроактивног тестирања плана извора финансирања.]</w:t>
            </w:r>
          </w:p>
        </w:tc>
      </w:tr>
    </w:tbl>
    <w:p w:rsidR="001A73E6" w:rsidRPr="00596162" w:rsidRDefault="001A73E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  <w:sectPr w:rsidR="001A73E6" w:rsidRPr="00596162" w:rsidSect="00B17B0B">
          <w:pgSz w:w="11907" w:h="16840" w:code="9"/>
          <w:pgMar w:top="1418" w:right="1134" w:bottom="1134" w:left="1418" w:header="567" w:footer="397" w:gutter="0"/>
          <w:cols w:space="720"/>
          <w:docGrid w:linePitch="360"/>
        </w:sect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pacing w:val="-4"/>
        </w:rPr>
      </w:pPr>
      <w:r w:rsidRPr="00596162">
        <w:rPr>
          <w:rFonts w:ascii="Times New Roman" w:hAnsi="Times New Roman" w:cs="Times New Roman"/>
          <w:b/>
          <w:spacing w:val="-4"/>
        </w:rPr>
        <w:lastRenderedPageBreak/>
        <w:t xml:space="preserve">ИНФОРМАЦИЈЕ О СТРАТЕГИЈИ У ВЕЗИ </w:t>
      </w:r>
      <w:r w:rsidR="00F61B1F" w:rsidRPr="00596162">
        <w:rPr>
          <w:rFonts w:ascii="Times New Roman" w:hAnsi="Times New Roman" w:cs="Times New Roman"/>
          <w:b/>
          <w:spacing w:val="-4"/>
          <w:lang w:val="sr-Cyrl-BA"/>
        </w:rPr>
        <w:t xml:space="preserve">С </w:t>
      </w:r>
      <w:r w:rsidR="00F61B1F" w:rsidRPr="00596162">
        <w:rPr>
          <w:rFonts w:ascii="Times New Roman" w:hAnsi="Times New Roman" w:cs="Times New Roman"/>
          <w:b/>
          <w:spacing w:val="-4"/>
        </w:rPr>
        <w:t>ЛИКВИДН</w:t>
      </w:r>
      <w:r w:rsidR="00F61B1F" w:rsidRPr="00596162">
        <w:rPr>
          <w:rFonts w:ascii="Times New Roman" w:hAnsi="Times New Roman" w:cs="Times New Roman"/>
          <w:b/>
          <w:spacing w:val="-4"/>
          <w:lang w:val="sr-Cyrl-BA"/>
        </w:rPr>
        <w:t>ОМ</w:t>
      </w:r>
      <w:r w:rsidR="00F61B1F" w:rsidRPr="00596162">
        <w:rPr>
          <w:rFonts w:ascii="Times New Roman" w:hAnsi="Times New Roman" w:cs="Times New Roman"/>
          <w:b/>
          <w:spacing w:val="-4"/>
        </w:rPr>
        <w:t xml:space="preserve"> ИМОВИН</w:t>
      </w:r>
      <w:r w:rsidR="00F61B1F" w:rsidRPr="00596162">
        <w:rPr>
          <w:rFonts w:ascii="Times New Roman" w:hAnsi="Times New Roman" w:cs="Times New Roman"/>
          <w:b/>
          <w:spacing w:val="-4"/>
          <w:lang w:val="sr-Cyrl-BA"/>
        </w:rPr>
        <w:t>ОМ</w:t>
      </w:r>
      <w:r w:rsidR="00F61B1F" w:rsidRPr="00596162">
        <w:rPr>
          <w:rFonts w:ascii="Times New Roman" w:hAnsi="Times New Roman" w:cs="Times New Roman"/>
          <w:b/>
          <w:spacing w:val="-4"/>
        </w:rPr>
        <w:t xml:space="preserve"> И УПРАВЉАЊ</w:t>
      </w:r>
      <w:r w:rsidR="00F61B1F" w:rsidRPr="00596162">
        <w:rPr>
          <w:rFonts w:ascii="Times New Roman" w:hAnsi="Times New Roman" w:cs="Times New Roman"/>
          <w:b/>
          <w:spacing w:val="-4"/>
          <w:lang w:val="sr-Cyrl-BA"/>
        </w:rPr>
        <w:t>ЕМ</w:t>
      </w:r>
      <w:r w:rsidR="00F61B1F" w:rsidRPr="00596162">
        <w:rPr>
          <w:rFonts w:ascii="Times New Roman" w:hAnsi="Times New Roman" w:cs="Times New Roman"/>
          <w:b/>
          <w:spacing w:val="-4"/>
        </w:rPr>
        <w:t xml:space="preserve"> </w:t>
      </w:r>
      <w:r w:rsidRPr="00596162">
        <w:rPr>
          <w:rFonts w:ascii="Times New Roman" w:hAnsi="Times New Roman" w:cs="Times New Roman"/>
          <w:b/>
          <w:spacing w:val="-4"/>
        </w:rPr>
        <w:t>КОЛАТЕРАЛИМА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љ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ме</w:t>
            </w:r>
            <w:r w:rsidR="00452F7A" w:rsidRPr="00596162">
              <w:rPr>
                <w:rFonts w:ascii="Times New Roman" w:hAnsi="Times New Roman" w:cs="Times New Roman"/>
                <w:i/>
                <w:lang w:val="de-DE"/>
              </w:rPr>
              <w:t>тодологије за одређивање интерн</w:t>
            </w:r>
            <w:r w:rsidR="00452F7A" w:rsidRPr="00596162">
              <w:rPr>
                <w:rFonts w:ascii="Times New Roman" w:hAnsi="Times New Roman" w:cs="Times New Roman"/>
                <w:i/>
                <w:lang w:val="sr-Cyrl-BA"/>
              </w:rPr>
              <w:t>их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452F7A" w:rsidRPr="00596162">
              <w:rPr>
                <w:rFonts w:ascii="Times New Roman" w:hAnsi="Times New Roman" w:cs="Times New Roman"/>
                <w:i/>
                <w:lang w:val="sr-Cyrl-BA"/>
              </w:rPr>
              <w:t>резерви ликвидности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, укључујући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њихову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дефиницију, критеријуме који се примјењују за одређивање 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тржишне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вриједности ликвидне имовине, и ограничења у погледу концентрације и других карактеристика ризика везаних за ликвидну имовину, 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управљање колатералима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принципе у вези 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с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локациј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ом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 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преносиво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шћу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колатерала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као и њихову улогу у испуњењу минималних 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регулаторних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захтјева,</w:t>
            </w:r>
          </w:p>
          <w:p w:rsidR="00E43636" w:rsidRPr="00596162" w:rsidRDefault="00215FD7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sr-Cyrl-BA"/>
              </w:rPr>
              <w:t>зало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ге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на ликвидној имовини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принципе за мјерење и праћење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заложене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и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незаложене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имовине, и повезивање оквира за лимите и контролу оптерећења имовине са склоношћу банке ка преузимању ризика ликвидности и извора финансирања,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принцип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за тестирање претпоставки у вези 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са 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тржишн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ом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вриједно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шћу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(и времен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ом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215FD7" w:rsidRPr="00596162">
              <w:rPr>
                <w:rFonts w:ascii="Times New Roman" w:hAnsi="Times New Roman" w:cs="Times New Roman"/>
                <w:i/>
                <w:lang w:val="de-DE"/>
              </w:rPr>
              <w:t>за продај</w:t>
            </w:r>
            <w:r w:rsidR="00215FD7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) имовине укључене у ликвидну имовину, као и резултат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анализе овог тестирања,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ризик концентрације ликвидности у ликвидној имовини</w:t>
            </w:r>
            <w:r w:rsidR="000311EA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принципе за мјерење и праћење потенцијалних губи</w:t>
            </w:r>
            <w:r w:rsidR="00215FD7" w:rsidRPr="00596162">
              <w:rPr>
                <w:rFonts w:ascii="Times New Roman" w:hAnsi="Times New Roman" w:cs="Times New Roman"/>
                <w:i/>
                <w:lang w:val="de-DE"/>
              </w:rPr>
              <w:t>така расположиве ликвидности ус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љед ове концентрације,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квантификовање минималног нивоа ликвидне имовине који се сматра адекватним за испуњење интерних захтјева,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квантификовање ликвидне имовине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укључујући њену дистрибуцију према производима, валутама, дужницима, регионима, субјектима унутар групе и сл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.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пројекциј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интерно захт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и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јеваног минималног нивоа ликвидне имовине и расположиве ликвидне имовине у одређеним временским периодима у нормалним и ванредним ситуацијама,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квантитативни преглед и анализ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тренутног и пројектованог нивоа </w:t>
            </w:r>
            <w:r w:rsidR="00270135" w:rsidRPr="00596162">
              <w:rPr>
                <w:rFonts w:ascii="Times New Roman" w:hAnsi="Times New Roman" w:cs="Times New Roman"/>
                <w:i/>
                <w:lang w:val="sr-Cyrl-BA"/>
              </w:rPr>
              <w:t>заложености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имовине, укључујући детаље о </w:t>
            </w:r>
            <w:r w:rsidR="00270135" w:rsidRPr="00596162">
              <w:rPr>
                <w:rFonts w:ascii="Times New Roman" w:hAnsi="Times New Roman" w:cs="Times New Roman"/>
                <w:i/>
                <w:lang w:val="sr-Cyrl-BA"/>
              </w:rPr>
              <w:t>заложеној</w:t>
            </w:r>
            <w:r w:rsidR="00270135" w:rsidRPr="00596162">
              <w:rPr>
                <w:rFonts w:ascii="Times New Roman" w:hAnsi="Times New Roman" w:cs="Times New Roman"/>
                <w:i/>
                <w:lang w:val="de-DE"/>
              </w:rPr>
              <w:t xml:space="preserve"> и не</w:t>
            </w:r>
            <w:r w:rsidR="00270135" w:rsidRPr="00596162">
              <w:rPr>
                <w:rFonts w:ascii="Times New Roman" w:hAnsi="Times New Roman" w:cs="Times New Roman"/>
                <w:i/>
                <w:lang w:val="sr-Cyrl-BA"/>
              </w:rPr>
              <w:t>заложеној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имовини која би се могла користити за генерисање ликвидности,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оцјен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времена потребног за претварање ликвидне имовине у новчана средства</w:t>
            </w:r>
            <w:r w:rsidR="00DD3E6F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узимајући у обзир правна, оперативна и </w:t>
            </w:r>
            <w:r w:rsidR="00852A3A" w:rsidRPr="00596162">
              <w:rPr>
                <w:rFonts w:ascii="Times New Roman" w:hAnsi="Times New Roman" w:cs="Times New Roman"/>
                <w:i/>
                <w:lang w:val="sr-Cyrl-BA"/>
              </w:rPr>
              <w:t>регулаторна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ограничења за употребу ликвидне имовине за покриће новчаних одлива.] 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de-DE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de-DE"/>
        </w:r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>ИНФОРМАЦИЈЕ О МЕХАНИЗМУ РАСПОДЈЕЛЕ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механизма расподјеле као и критеријума за избор елемената ликвидности и извора финансирања који обезбјеђују да су све релевантне користи и трошкови узети у обзир, као и учесталост пром</w:t>
            </w:r>
            <w:r w:rsidR="006C321B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ене ц</w:t>
            </w:r>
            <w:r w:rsidR="006C321B" w:rsidRPr="00596162">
              <w:rPr>
                <w:rFonts w:ascii="Times New Roman" w:hAnsi="Times New Roman" w:cs="Times New Roman"/>
                <w:i/>
                <w:lang w:val="sr-Cyrl-BA"/>
              </w:rPr>
              <w:t>иј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ена,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опис усклађености и повезаности механизма расподјеле, управљања ризицима и свеобухватног </w:t>
            </w:r>
            <w:r w:rsidR="006C321B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система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управљања</w:t>
            </w:r>
            <w:r w:rsidR="006C321B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у</w:t>
            </w:r>
            <w:r w:rsidR="006C321B" w:rsidRPr="00596162">
              <w:rPr>
                <w:rFonts w:ascii="Times New Roman" w:hAnsi="Times New Roman" w:cs="Times New Roman"/>
                <w:i/>
                <w:lang w:val="de-DE"/>
              </w:rPr>
              <w:t xml:space="preserve"> бан</w:t>
            </w:r>
            <w:r w:rsidR="006C321B" w:rsidRPr="00596162">
              <w:rPr>
                <w:rFonts w:ascii="Times New Roman" w:hAnsi="Times New Roman" w:cs="Times New Roman"/>
                <w:i/>
                <w:lang w:val="sr-Cyrl-BA"/>
              </w:rPr>
              <w:t>ци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важећег механизма расподјеле са квантитативним прегледом његове тренутне калибрације (на прим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ер: криве каматних стопа, интерне референтне стопе за главне категорије имовине и обавеза у коришћењу итд.),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укључивања механизма расподјеле у мјерење профитабилности код креирања нове имовине и обавеза, како код билансне активе тако и код ванбилансних ставки,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опис укључивања механизма расподјеле у управљање пословним резултатима (уколико је неопходно, извршити подјелу по различитим пословним линијама/организационим дијеловима или регионима). 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Уколико банка располаже механизмом за одређивање </w:t>
            </w:r>
            <w:r w:rsidR="002E4B96" w:rsidRPr="00596162">
              <w:rPr>
                <w:rFonts w:ascii="Times New Roman" w:hAnsi="Times New Roman" w:cs="Times New Roman"/>
                <w:i/>
                <w:lang w:val="de-DE"/>
              </w:rPr>
              <w:t>ликвиднос</w:t>
            </w:r>
            <w:r w:rsidR="002E4B96" w:rsidRPr="00596162">
              <w:rPr>
                <w:rFonts w:ascii="Times New Roman" w:hAnsi="Times New Roman" w:cs="Times New Roman"/>
                <w:i/>
                <w:lang w:val="sr-Cyrl-BA"/>
              </w:rPr>
              <w:t>них тран</w:t>
            </w:r>
            <w:r w:rsidR="002D5B36" w:rsidRPr="00596162">
              <w:rPr>
                <w:rFonts w:ascii="Times New Roman" w:hAnsi="Times New Roman" w:cs="Times New Roman"/>
                <w:i/>
                <w:lang w:val="sr-Cyrl-BA"/>
              </w:rPr>
              <w:t>с</w:t>
            </w:r>
            <w:r w:rsidR="002E4B96" w:rsidRPr="00596162">
              <w:rPr>
                <w:rFonts w:ascii="Times New Roman" w:hAnsi="Times New Roman" w:cs="Times New Roman"/>
                <w:i/>
                <w:lang w:val="sr-Cyrl-BA"/>
              </w:rPr>
              <w:t>ферних цијена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(</w:t>
            </w:r>
            <w:r w:rsidR="002E4B96" w:rsidRPr="00596162">
              <w:rPr>
                <w:rFonts w:ascii="Times New Roman" w:hAnsi="Times New Roman" w:cs="Times New Roman"/>
                <w:i/>
                <w:lang w:val="de-DE"/>
              </w:rPr>
              <w:t>LTP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), банка наводи и опис поставке и функционисања </w:t>
            </w:r>
            <w:r w:rsidR="002E4B96" w:rsidRPr="00596162">
              <w:rPr>
                <w:rFonts w:ascii="Times New Roman" w:hAnsi="Times New Roman" w:cs="Times New Roman"/>
                <w:i/>
                <w:lang w:val="de-DE"/>
              </w:rPr>
              <w:t>LTP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-а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, а нарочито повезаност </w:t>
            </w:r>
            <w:r w:rsidR="002E4B96" w:rsidRPr="00596162">
              <w:rPr>
                <w:rFonts w:ascii="Times New Roman" w:hAnsi="Times New Roman" w:cs="Times New Roman"/>
                <w:i/>
                <w:lang w:val="de-DE"/>
              </w:rPr>
              <w:t>LTP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-а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са доношењем стратешких одлука, као и доношењем одлука оних организационих дијелова који учествују у генерисању имовине и обавеза.</w:t>
            </w:r>
          </w:p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Такође, банка наводи везу између </w:t>
            </w:r>
            <w:r w:rsidR="002E4B96" w:rsidRPr="00596162">
              <w:rPr>
                <w:rFonts w:ascii="Times New Roman" w:hAnsi="Times New Roman" w:cs="Times New Roman"/>
                <w:i/>
                <w:lang w:val="de-DE"/>
              </w:rPr>
              <w:t>LTP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-а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 кључних показатеља ризика.]</w:t>
            </w:r>
            <w:r w:rsidR="00675BA8" w:rsidRPr="00596162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</w:tc>
      </w:tr>
    </w:tbl>
    <w:p w:rsidR="001A73E6" w:rsidRPr="00596162" w:rsidRDefault="001A73E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de-DE"/>
        </w:rPr>
        <w:sectPr w:rsidR="001A73E6" w:rsidRPr="00596162" w:rsidSect="00B17B0B">
          <w:pgSz w:w="11907" w:h="16840" w:code="9"/>
          <w:pgMar w:top="1418" w:right="1134" w:bottom="1134" w:left="1418" w:header="567" w:footer="397" w:gutter="0"/>
          <w:cols w:space="720"/>
          <w:docGrid w:linePitch="360"/>
        </w:sectPr>
      </w:pPr>
    </w:p>
    <w:p w:rsidR="00E43636" w:rsidRPr="00596162" w:rsidRDefault="00E43636" w:rsidP="00273AF3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lang w:val="de-DE"/>
        </w:rPr>
      </w:pPr>
      <w:r w:rsidRPr="00596162">
        <w:rPr>
          <w:rFonts w:ascii="Times New Roman" w:hAnsi="Times New Roman" w:cs="Times New Roman"/>
          <w:b/>
          <w:lang w:val="de-DE"/>
        </w:rPr>
        <w:lastRenderedPageBreak/>
        <w:t>ИНФОРМАЦИЈЕ О УПРАВЉАЊУ РИЗИКОМ УНУТАРДНЕВНЕ ЛИКВИДНОСТИ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критеријума и метода мјерења и праћења ризика унутардневне ликвидности,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опис </w:t>
            </w:r>
            <w:r w:rsidR="00525F88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обавјештавања надлежних органа банке и </w:t>
            </w:r>
            <w:r w:rsidRPr="00596162">
              <w:rPr>
                <w:rFonts w:ascii="Times New Roman" w:hAnsi="Times New Roman" w:cs="Times New Roman"/>
                <w:i/>
              </w:rPr>
              <w:t xml:space="preserve">процедура </w:t>
            </w:r>
            <w:r w:rsidR="00525F88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за доношење одлука </w:t>
            </w:r>
            <w:r w:rsidRPr="00596162">
              <w:rPr>
                <w:rFonts w:ascii="Times New Roman" w:hAnsi="Times New Roman" w:cs="Times New Roman"/>
                <w:i/>
              </w:rPr>
              <w:t>у случају мањка унутардневне ликвидности</w:t>
            </w:r>
            <w:r w:rsidR="00525F88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који објезб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</w:rPr>
              <w:t>еђују да се доспјеле обавезе извршавају на вријеме и у нормалним и у ванредним ситуацијама,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квантитативни преглед ризика унутардневне ликвидности у току претходне године,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96162">
              <w:rPr>
                <w:rFonts w:ascii="Times New Roman" w:hAnsi="Times New Roman" w:cs="Times New Roman"/>
                <w:i/>
              </w:rPr>
              <w:t>укупан број неизвршених плаћања и преглед (са образложењем) свих значајних неизвршених плаћања и значајних обавеза које банка није извршила на вријеме.]</w:t>
            </w:r>
          </w:p>
        </w:tc>
      </w:tr>
    </w:tbl>
    <w:p w:rsidR="00E43636" w:rsidRPr="00596162" w:rsidRDefault="00E43636" w:rsidP="00273A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227" w:rsidRPr="00596162" w:rsidRDefault="00667227" w:rsidP="00273AF3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E43636" w:rsidRPr="00596162" w:rsidRDefault="00E43636" w:rsidP="00273AF3">
      <w:p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96162">
        <w:rPr>
          <w:rFonts w:ascii="Times New Roman" w:hAnsi="Times New Roman" w:cs="Times New Roman"/>
          <w:b/>
        </w:rPr>
        <w:t>11. ИНФОРМАЦИЈЕ О ТЕСТИРАЊУ ОТПОРНОСТИ ЛИКВИДНОСТИ НА СТРЕС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општи опис програма тестирања отпорности ликвидности на стрес, обухватајући врсте проведених тест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ирања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отпорности на стрес, учесталост провођења, методолошке појединости и 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коришћене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моделе, распон кориш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ћ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ених претпоставки, релевантну инфраструктуру,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механизама провођења и управљања програмом тестирања отпорности ликвидности на стрес,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са посебним освртом на тестове отпорности на стрес чији се резултати користе за потребе ILAAP-а,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интеракције и интеграције појединих врста тестирања отпорности на стрес, као и улоге повратних тестова отпорности на стрес, у складу с одредбама</w:t>
            </w:r>
            <w:r w:rsidR="00667227" w:rsidRPr="00596162">
              <w:rPr>
                <w:rFonts w:ascii="Times New Roman" w:hAnsi="Times New Roman" w:cs="Times New Roman"/>
                <w:i/>
                <w:lang w:val="de-DE"/>
              </w:rPr>
              <w:t xml:space="preserve"> члана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11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. Одлуке о ILAAP-у,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примјене тестирања отпорности на стрес и његове интегрисаности у систем управљања у банци,</w:t>
            </w:r>
            <w:r w:rsidR="00675BA8" w:rsidRPr="00596162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прим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и</w:t>
            </w:r>
            <w:r w:rsidRPr="00596162">
              <w:rPr>
                <w:rFonts w:ascii="Times New Roman" w:hAnsi="Times New Roman" w:cs="Times New Roman"/>
                <w:i/>
              </w:rPr>
              <w:t xml:space="preserve">јењених неповољних сценарија и претпоставки </w:t>
            </w:r>
            <w:r w:rsidR="00103EA6" w:rsidRPr="00596162">
              <w:rPr>
                <w:rFonts w:ascii="Times New Roman" w:hAnsi="Times New Roman" w:cs="Times New Roman"/>
                <w:i/>
              </w:rPr>
              <w:t>кориш</w:t>
            </w:r>
            <w:r w:rsidR="00103EA6" w:rsidRPr="00596162">
              <w:rPr>
                <w:rFonts w:ascii="Times New Roman" w:hAnsi="Times New Roman" w:cs="Times New Roman"/>
                <w:i/>
                <w:lang w:val="sr-Cyrl-BA"/>
              </w:rPr>
              <w:t>ћ</w:t>
            </w:r>
            <w:r w:rsidRPr="00596162">
              <w:rPr>
                <w:rFonts w:ascii="Times New Roman" w:hAnsi="Times New Roman" w:cs="Times New Roman"/>
                <w:i/>
              </w:rPr>
              <w:t>ених код тестирања отпорности ликвидности на стрес, укључујући све релевантне детаље као што су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:</w:t>
            </w:r>
            <w:r w:rsidRPr="00596162">
              <w:rPr>
                <w:rFonts w:ascii="Times New Roman" w:hAnsi="Times New Roman" w:cs="Times New Roman"/>
                <w:i/>
              </w:rPr>
              <w:t xml:space="preserve"> број кориш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ћ</w:t>
            </w:r>
            <w:r w:rsidRPr="00596162">
              <w:rPr>
                <w:rFonts w:ascii="Times New Roman" w:hAnsi="Times New Roman" w:cs="Times New Roman"/>
                <w:i/>
              </w:rPr>
              <w:t>ених сценарија, обухват, динамика интерног изв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</w:rPr>
              <w:t>ештавања управе банке и надзорног одбора, фактори</w:t>
            </w:r>
            <w:r w:rsidR="008F12CE" w:rsidRPr="00596162">
              <w:rPr>
                <w:rFonts w:ascii="Times New Roman" w:hAnsi="Times New Roman" w:cs="Times New Roman"/>
                <w:i/>
              </w:rPr>
              <w:t xml:space="preserve"> ризика (макро и </w:t>
            </w:r>
            <w:r w:rsidR="008F12CE" w:rsidRPr="00596162">
              <w:rPr>
                <w:rFonts w:ascii="Times New Roman" w:hAnsi="Times New Roman" w:cs="Times New Roman"/>
                <w:i/>
                <w:lang w:val="sr-Cyrl-BA"/>
              </w:rPr>
              <w:t>ризици специфични за одређену банку</w:t>
            </w:r>
            <w:r w:rsidRPr="00596162">
              <w:rPr>
                <w:rFonts w:ascii="Times New Roman" w:hAnsi="Times New Roman" w:cs="Times New Roman"/>
                <w:i/>
              </w:rPr>
              <w:t>), прим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и</w:t>
            </w:r>
            <w:r w:rsidR="00CB36C8" w:rsidRPr="00596162">
              <w:rPr>
                <w:rFonts w:ascii="Times New Roman" w:hAnsi="Times New Roman" w:cs="Times New Roman"/>
                <w:i/>
              </w:rPr>
              <w:t>јењени временски периоди</w:t>
            </w:r>
            <w:r w:rsidR="00CB36C8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и, уколико је релева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н</w:t>
            </w:r>
            <w:r w:rsidRPr="00596162">
              <w:rPr>
                <w:rFonts w:ascii="Times New Roman" w:hAnsi="Times New Roman" w:cs="Times New Roman"/>
                <w:i/>
              </w:rPr>
              <w:t>тно, одвојено за валуте/регионе/</w:t>
            </w:r>
            <w:r w:rsidR="001A73E6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пословне јединице,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опис критеријума за калибрацију сценарија, бирајући одговарајуће временске периоде (укључујући унутардневни, уколико је релевантно), као и квантификацију утицаја стреса на </w:t>
            </w:r>
            <w:r w:rsidR="00CB36C8" w:rsidRPr="00596162">
              <w:rPr>
                <w:rFonts w:ascii="Times New Roman" w:hAnsi="Times New Roman" w:cs="Times New Roman"/>
                <w:i/>
                <w:lang w:val="sr-Cyrl-BA"/>
              </w:rPr>
              <w:t>тржишну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вриједност ликвидне имовине и сл.,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квантитативне резултате тестирања 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отпорности на стрес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укључујући анализу ових резултата</w:t>
            </w:r>
            <w:r w:rsidR="0032281C" w:rsidRPr="00596162">
              <w:rPr>
                <w:rFonts w:ascii="Times New Roman" w:hAnsi="Times New Roman" w:cs="Times New Roman"/>
                <w:i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(и главних фактора који утичу на њих), као и образложење значаја ових резултата за интерне лимите, ликвидну имовину, извјештавање, моделирање и склоност банке ка преузимању ризика,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квантитативн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и квалитативн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</w:rPr>
              <w:t xml:space="preserve"> анализ</w:t>
            </w:r>
            <w:r w:rsidR="00F45E5F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</w:rPr>
              <w:t xml:space="preserve"> резултата тестирања 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отпорности на стрес </w:t>
            </w:r>
            <w:r w:rsidRPr="00596162">
              <w:rPr>
                <w:rFonts w:ascii="Times New Roman" w:hAnsi="Times New Roman" w:cs="Times New Roman"/>
                <w:i/>
              </w:rPr>
              <w:t>у односу на профил извора финансирања.]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45E5F" w:rsidRPr="00596162" w:rsidRDefault="00E43636" w:rsidP="00273AF3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sr-Cyrl-BA"/>
        </w:rPr>
      </w:pPr>
      <w:r w:rsidRPr="00596162">
        <w:rPr>
          <w:rFonts w:ascii="Times New Roman" w:hAnsi="Times New Roman" w:cs="Times New Roman"/>
          <w:b/>
        </w:rPr>
        <w:t>12. ИНФ</w:t>
      </w:r>
      <w:r w:rsidR="00F45E5F" w:rsidRPr="00596162">
        <w:rPr>
          <w:rFonts w:ascii="Times New Roman" w:hAnsi="Times New Roman" w:cs="Times New Roman"/>
          <w:b/>
        </w:rPr>
        <w:t xml:space="preserve">ОРМАЦИЈЕ О ПЛАНУ ЗА ЛИКВИДНОСТ </w:t>
      </w:r>
      <w:r w:rsidR="00F45E5F" w:rsidRPr="00596162">
        <w:rPr>
          <w:rFonts w:ascii="Times New Roman" w:hAnsi="Times New Roman" w:cs="Times New Roman"/>
          <w:b/>
          <w:lang w:val="sr-Cyrl-BA"/>
        </w:rPr>
        <w:t>У</w:t>
      </w:r>
      <w:r w:rsidRPr="00596162">
        <w:rPr>
          <w:rFonts w:ascii="Times New Roman" w:hAnsi="Times New Roman" w:cs="Times New Roman"/>
          <w:b/>
        </w:rPr>
        <w:t xml:space="preserve"> НЕПРЕДВИЂЕН</w:t>
      </w:r>
      <w:r w:rsidR="00F45E5F" w:rsidRPr="00596162">
        <w:rPr>
          <w:rFonts w:ascii="Times New Roman" w:hAnsi="Times New Roman" w:cs="Times New Roman"/>
          <w:b/>
          <w:lang w:val="sr-Cyrl-BA"/>
        </w:rPr>
        <w:t>ИМ</w:t>
      </w:r>
      <w:r w:rsidR="00F45E5F" w:rsidRPr="00596162">
        <w:rPr>
          <w:rFonts w:ascii="Times New Roman" w:hAnsi="Times New Roman" w:cs="Times New Roman"/>
          <w:b/>
        </w:rPr>
        <w:t xml:space="preserve"> </w:t>
      </w:r>
    </w:p>
    <w:p w:rsidR="00E43636" w:rsidRPr="00596162" w:rsidRDefault="00F45E5F" w:rsidP="00273AF3">
      <w:pPr>
        <w:spacing w:after="120" w:line="240" w:lineRule="auto"/>
        <w:ind w:left="714" w:hanging="5"/>
        <w:jc w:val="both"/>
        <w:rPr>
          <w:rFonts w:ascii="Times New Roman" w:hAnsi="Times New Roman" w:cs="Times New Roman"/>
          <w:lang w:val="sr-Cyrl-BA"/>
        </w:rPr>
      </w:pPr>
      <w:r w:rsidRPr="00596162">
        <w:rPr>
          <w:rFonts w:ascii="Times New Roman" w:hAnsi="Times New Roman" w:cs="Times New Roman"/>
          <w:b/>
        </w:rPr>
        <w:t>СЛУЧАЈЕВ</w:t>
      </w:r>
      <w:r w:rsidRPr="00596162">
        <w:rPr>
          <w:rFonts w:ascii="Times New Roman" w:hAnsi="Times New Roman" w:cs="Times New Roman"/>
          <w:b/>
          <w:lang w:val="sr-Cyrl-BA"/>
        </w:rPr>
        <w:t>ИМА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опис линија одговорности за креирање, праћење и извршење плана за ликвидност </w:t>
            </w:r>
            <w:r w:rsidR="003032FA"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непредвиђен</w:t>
            </w:r>
            <w:r w:rsidR="003032FA" w:rsidRPr="00596162">
              <w:rPr>
                <w:rFonts w:ascii="Times New Roman" w:hAnsi="Times New Roman" w:cs="Times New Roman"/>
                <w:i/>
                <w:lang w:val="sr-Cyrl-BA"/>
              </w:rPr>
              <w:t>им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случајев</w:t>
            </w:r>
            <w:r w:rsidR="003032FA" w:rsidRPr="00596162">
              <w:rPr>
                <w:rFonts w:ascii="Times New Roman" w:hAnsi="Times New Roman" w:cs="Times New Roman"/>
                <w:i/>
                <w:lang w:val="sr-Cyrl-BA"/>
              </w:rPr>
              <w:t>има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стратегија за реаговање на недостатак ликвидности у хитним ситуацијама,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метода праћења тржишних услова који омогућава банци да благо</w:t>
            </w:r>
            <w:r w:rsidR="003067BC" w:rsidRPr="00596162">
              <w:rPr>
                <w:rFonts w:ascii="Times New Roman" w:hAnsi="Times New Roman" w:cs="Times New Roman"/>
                <w:i/>
                <w:lang w:val="de-DE"/>
              </w:rPr>
              <w:t>времено одреди да ли је потребн</w:t>
            </w:r>
            <w:r w:rsidR="003067BC" w:rsidRPr="00596162">
              <w:rPr>
                <w:rFonts w:ascii="Times New Roman" w:hAnsi="Times New Roman" w:cs="Times New Roman"/>
                <w:i/>
                <w:lang w:val="sr-Cyrl-BA"/>
              </w:rPr>
              <w:t>о извјештавање надлежних органа банке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и/или извршење м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ј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ера,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pacing w:val="-4"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>опис процедура за тестирање, уколико је доступно (</w:t>
            </w:r>
            <w:r w:rsidR="00520B63" w:rsidRPr="00596162">
              <w:rPr>
                <w:rFonts w:ascii="Times New Roman" w:hAnsi="Times New Roman" w:cs="Times New Roman"/>
                <w:i/>
                <w:spacing w:val="-4"/>
                <w:lang w:val="sr-Cyrl-BA"/>
              </w:rPr>
              <w:t>нпр.</w:t>
            </w:r>
            <w:r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 xml:space="preserve"> продаја нових врста </w:t>
            </w:r>
            <w:r w:rsidR="000B7275"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>имовине</w:t>
            </w:r>
            <w:r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 xml:space="preserve"> и сл.),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важећи план за ликвидност у непредвиђеним случајевима,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pacing w:val="-4"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>информације о евентуалним управљачким мјерама</w:t>
            </w:r>
            <w:r w:rsidR="003032FA" w:rsidRPr="00596162">
              <w:rPr>
                <w:rFonts w:ascii="Times New Roman" w:hAnsi="Times New Roman" w:cs="Times New Roman"/>
                <w:i/>
                <w:spacing w:val="-4"/>
                <w:lang w:val="sr-Cyrl-BA"/>
              </w:rPr>
              <w:t xml:space="preserve">, </w:t>
            </w:r>
            <w:r w:rsidRPr="00596162">
              <w:rPr>
                <w:rFonts w:ascii="Times New Roman" w:hAnsi="Times New Roman" w:cs="Times New Roman"/>
                <w:i/>
                <w:spacing w:val="-4"/>
                <w:lang w:val="de-DE"/>
              </w:rPr>
              <w:t>укључујући оцјену њихове остваривости и капацитета за генерисање ликвидности у различитим стресним сценаријима,</w:t>
            </w:r>
          </w:p>
          <w:p w:rsidR="003032FA" w:rsidRPr="00596162" w:rsidRDefault="003032FA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lastRenderedPageBreak/>
              <w:t xml:space="preserve">мишљење управе банке о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томе како све њене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јавно објављен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информациј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 вези 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са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ликвидно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 xml:space="preserve">шћу утичу 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>на остваривост и благовременост управљачких мјера укључених у план за ликвидност у непредвиђеним случајевима,</w:t>
            </w:r>
          </w:p>
          <w:p w:rsidR="00E43636" w:rsidRPr="00596162" w:rsidRDefault="003032FA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пос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љ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>едњ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анализ</w:t>
            </w:r>
            <w:r w:rsidRPr="00596162">
              <w:rPr>
                <w:rFonts w:ascii="Times New Roman" w:hAnsi="Times New Roman" w:cs="Times New Roman"/>
                <w:i/>
                <w:lang w:val="sr-Cyrl-BA"/>
              </w:rPr>
              <w:t>у</w:t>
            </w:r>
            <w:r w:rsidR="00E43636" w:rsidRPr="00596162">
              <w:rPr>
                <w:rFonts w:ascii="Times New Roman" w:hAnsi="Times New Roman" w:cs="Times New Roman"/>
                <w:i/>
                <w:lang w:val="de-DE"/>
              </w:rPr>
              <w:t xml:space="preserve"> тестирања, укључујући закључке о остваривости управљачких мјера укључених у план за ликвидност у непредвиђеним ситуацијама,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опис интерног става о утицају извршења управљачких мјера укључених у план за ликвидност у непредвиђеним случајевима, </w:t>
            </w:r>
            <w:r w:rsidR="00520B63" w:rsidRPr="00596162">
              <w:rPr>
                <w:rFonts w:ascii="Times New Roman" w:hAnsi="Times New Roman" w:cs="Times New Roman"/>
                <w:i/>
                <w:lang w:val="sr-Cyrl-BA"/>
              </w:rPr>
              <w:t>нпр.</w:t>
            </w:r>
            <w:r w:rsidRPr="00596162">
              <w:rPr>
                <w:rFonts w:ascii="Times New Roman" w:hAnsi="Times New Roman" w:cs="Times New Roman"/>
                <w:i/>
              </w:rPr>
              <w:t xml:space="preserve"> на приступ банке релевантним тржиштима и на</w:t>
            </w:r>
            <w:r w:rsidR="0032281C" w:rsidRPr="00596162">
              <w:rPr>
                <w:rFonts w:ascii="Times New Roman" w:hAnsi="Times New Roman" w:cs="Times New Roman"/>
                <w:i/>
              </w:rPr>
              <w:t xml:space="preserve"> </w:t>
            </w:r>
            <w:r w:rsidRPr="00596162">
              <w:rPr>
                <w:rFonts w:ascii="Times New Roman" w:hAnsi="Times New Roman" w:cs="Times New Roman"/>
                <w:i/>
              </w:rPr>
              <w:t>свеобухватну стабилност њеног профила извора финансирања у краћим и дужим временским периодима.]</w:t>
            </w:r>
          </w:p>
        </w:tc>
      </w:tr>
    </w:tbl>
    <w:p w:rsidR="00480743" w:rsidRPr="00596162" w:rsidRDefault="00480743" w:rsidP="00273AF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>13. ИНФОРМАЦИЈЕ О ПОДАЦИМА О РИЗИЦИМА, АГРЕГИРАЊУ ПОДАТАКА О РИЗИЦИМА И ИТ СИСТЕМИМА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[Банка наводи, између осталог, сљедеће информације: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ind w:left="425" w:hanging="357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96162">
              <w:rPr>
                <w:rFonts w:ascii="Times New Roman" w:hAnsi="Times New Roman" w:cs="Times New Roman"/>
                <w:i/>
                <w:lang w:val="de-DE"/>
              </w:rPr>
              <w:t>опис успостављеног оквира и поступака за прикупљање, архивирање и агрегирање података о ризицима у банци, укључујући и ток података од подређених друшт</w:t>
            </w:r>
            <w:r w:rsidR="007C37F4" w:rsidRPr="00596162">
              <w:rPr>
                <w:rFonts w:ascii="Times New Roman" w:hAnsi="Times New Roman" w:cs="Times New Roman"/>
                <w:i/>
                <w:lang w:val="de-DE"/>
              </w:rPr>
              <w:t>ава до банке која их консолид</w:t>
            </w:r>
            <w:r w:rsidR="007C37F4" w:rsidRPr="00596162">
              <w:rPr>
                <w:rFonts w:ascii="Times New Roman" w:hAnsi="Times New Roman" w:cs="Times New Roman"/>
                <w:i/>
                <w:lang w:val="sr-Cyrl-BA"/>
              </w:rPr>
              <w:t>ује</w:t>
            </w:r>
            <w:r w:rsidRPr="00596162">
              <w:rPr>
                <w:rFonts w:ascii="Times New Roman" w:hAnsi="Times New Roman" w:cs="Times New Roman"/>
                <w:i/>
                <w:lang w:val="de-DE"/>
              </w:rPr>
              <w:t xml:space="preserve"> у Извјештај о ILAAP-у на нивоу групе,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тока и структуре података о ризицима који се користе за потребе ILAAP-а,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>опис провјере података кој</w:t>
            </w:r>
            <w:r w:rsidR="00585B37" w:rsidRPr="00596162">
              <w:rPr>
                <w:rFonts w:ascii="Times New Roman" w:hAnsi="Times New Roman" w:cs="Times New Roman"/>
                <w:i/>
                <w:lang w:val="sr-Cyrl-BA"/>
              </w:rPr>
              <w:t>и</w:t>
            </w:r>
            <w:r w:rsidRPr="00596162">
              <w:rPr>
                <w:rFonts w:ascii="Times New Roman" w:hAnsi="Times New Roman" w:cs="Times New Roman"/>
                <w:i/>
              </w:rPr>
              <w:t xml:space="preserve"> се примјењују на податке о ризицима који се користе за потребе и</w:t>
            </w:r>
            <w:r w:rsidR="00F45E6A" w:rsidRPr="00596162">
              <w:rPr>
                <w:rFonts w:ascii="Times New Roman" w:hAnsi="Times New Roman" w:cs="Times New Roman"/>
                <w:i/>
              </w:rPr>
              <w:t>звјештавања о примјени ILAAP-а,</w:t>
            </w:r>
          </w:p>
          <w:p w:rsidR="00E43636" w:rsidRPr="00596162" w:rsidRDefault="00E43636" w:rsidP="00273A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опис ИТ система који се користе за прикупљање, архивирање </w:t>
            </w:r>
            <w:r w:rsidR="00667227" w:rsidRPr="00596162">
              <w:rPr>
                <w:rFonts w:ascii="Times New Roman" w:hAnsi="Times New Roman" w:cs="Times New Roman"/>
                <w:i/>
                <w:lang w:val="sr-Cyrl-BA"/>
              </w:rPr>
              <w:t>и</w:t>
            </w:r>
            <w:r w:rsidRPr="00596162">
              <w:rPr>
                <w:rFonts w:ascii="Times New Roman" w:hAnsi="Times New Roman" w:cs="Times New Roman"/>
                <w:i/>
              </w:rPr>
              <w:t xml:space="preserve"> дистрибуц</w:t>
            </w:r>
            <w:r w:rsidR="00667227" w:rsidRPr="00596162">
              <w:rPr>
                <w:rFonts w:ascii="Times New Roman" w:hAnsi="Times New Roman" w:cs="Times New Roman"/>
                <w:i/>
              </w:rPr>
              <w:t>ију података о ризицима за потр</w:t>
            </w:r>
            <w:r w:rsidRPr="00596162">
              <w:rPr>
                <w:rFonts w:ascii="Times New Roman" w:hAnsi="Times New Roman" w:cs="Times New Roman"/>
                <w:i/>
              </w:rPr>
              <w:t xml:space="preserve">ебе ILAAP-а.] 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3636" w:rsidRPr="00596162" w:rsidRDefault="00E43636" w:rsidP="00273AF3">
      <w:p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96162">
        <w:rPr>
          <w:rFonts w:ascii="Times New Roman" w:hAnsi="Times New Roman" w:cs="Times New Roman"/>
          <w:b/>
        </w:rPr>
        <w:t>14. ОСТАЛЕ ИНФОРМАЦИЈЕ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1A73E6">
        <w:tc>
          <w:tcPr>
            <w:tcW w:w="9211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14.1. Укључивање у консолидова</w:t>
            </w:r>
            <w:r w:rsidR="00585B37" w:rsidRPr="00596162">
              <w:rPr>
                <w:rFonts w:ascii="Times New Roman" w:hAnsi="Times New Roman" w:cs="Times New Roman"/>
                <w:b/>
                <w:lang w:val="sr-Cyrl-BA"/>
              </w:rPr>
              <w:t>н</w:t>
            </w:r>
            <w:r w:rsidRPr="00596162">
              <w:rPr>
                <w:rFonts w:ascii="Times New Roman" w:hAnsi="Times New Roman" w:cs="Times New Roman"/>
                <w:b/>
              </w:rPr>
              <w:t xml:space="preserve">и </w:t>
            </w:r>
            <w:r w:rsidRPr="00596162">
              <w:rPr>
                <w:rFonts w:ascii="Times New Roman" w:hAnsi="Times New Roman" w:cs="Times New Roman"/>
                <w:b/>
                <w:i/>
              </w:rPr>
              <w:t>ILAAP</w:t>
            </w:r>
          </w:p>
        </w:tc>
      </w:tr>
      <w:tr w:rsidR="00E43636" w:rsidRPr="00596162" w:rsidTr="001A73E6">
        <w:tc>
          <w:tcPr>
            <w:tcW w:w="9211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[Уколико је банка чланица банкарске групације из Европске уније или неке друге земље, потребно је да, поред овог извјештаја, достави и извјештај о ILAAP-у, који доставља за потребе консолидованог извјештаја на нивоу матичне банке, те </w:t>
            </w:r>
            <w:r w:rsidR="00585B37" w:rsidRPr="00596162">
              <w:rPr>
                <w:rFonts w:ascii="Times New Roman" w:hAnsi="Times New Roman" w:cs="Times New Roman"/>
                <w:i/>
                <w:lang w:val="sr-Cyrl-BA"/>
              </w:rPr>
              <w:t xml:space="preserve">да </w:t>
            </w:r>
            <w:r w:rsidRPr="00596162">
              <w:rPr>
                <w:rFonts w:ascii="Times New Roman" w:hAnsi="Times New Roman" w:cs="Times New Roman"/>
                <w:i/>
              </w:rPr>
              <w:t>опише разлике у ова два извјештаја.]</w:t>
            </w:r>
          </w:p>
        </w:tc>
      </w:tr>
    </w:tbl>
    <w:p w:rsidR="00E43636" w:rsidRPr="00596162" w:rsidRDefault="00E43636" w:rsidP="00273A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C26A6" w:rsidRPr="00596162" w:rsidTr="00E43636">
        <w:tc>
          <w:tcPr>
            <w:tcW w:w="9576" w:type="dxa"/>
            <w:shd w:val="clear" w:color="auto" w:fill="D9D9D9" w:themeFill="background1" w:themeFillShade="D9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162">
              <w:rPr>
                <w:rFonts w:ascii="Times New Roman" w:hAnsi="Times New Roman" w:cs="Times New Roman"/>
                <w:b/>
              </w:rPr>
              <w:t>14.2. Остало</w:t>
            </w:r>
          </w:p>
        </w:tc>
      </w:tr>
      <w:tr w:rsidR="00E43636" w:rsidRPr="00596162" w:rsidTr="00E43636">
        <w:tc>
          <w:tcPr>
            <w:tcW w:w="9576" w:type="dxa"/>
          </w:tcPr>
          <w:p w:rsidR="00E43636" w:rsidRPr="00596162" w:rsidRDefault="00E43636" w:rsidP="00273A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96162">
              <w:rPr>
                <w:rFonts w:ascii="Times New Roman" w:hAnsi="Times New Roman" w:cs="Times New Roman"/>
                <w:i/>
              </w:rPr>
              <w:t xml:space="preserve">[Банка наводи </w:t>
            </w:r>
            <w:r w:rsidR="00585B37" w:rsidRPr="00596162">
              <w:rPr>
                <w:rFonts w:ascii="Times New Roman" w:hAnsi="Times New Roman" w:cs="Times New Roman"/>
                <w:i/>
                <w:lang w:val="sr-Cyrl-BA"/>
              </w:rPr>
              <w:t>и друге</w:t>
            </w:r>
            <w:r w:rsidRPr="00596162">
              <w:rPr>
                <w:rFonts w:ascii="Times New Roman" w:hAnsi="Times New Roman" w:cs="Times New Roman"/>
                <w:i/>
              </w:rPr>
              <w:t xml:space="preserve"> информације и резултате ILAAP-а</w:t>
            </w:r>
            <w:r w:rsidR="006A1318" w:rsidRPr="00596162">
              <w:rPr>
                <w:rFonts w:ascii="Times New Roman" w:hAnsi="Times New Roman" w:cs="Times New Roman"/>
                <w:i/>
                <w:lang w:val="sr-Cyrl-BA"/>
              </w:rPr>
              <w:t>,</w:t>
            </w:r>
            <w:r w:rsidRPr="00596162">
              <w:rPr>
                <w:rFonts w:ascii="Times New Roman" w:hAnsi="Times New Roman" w:cs="Times New Roman"/>
                <w:i/>
              </w:rPr>
              <w:t xml:space="preserve"> који нису обу</w:t>
            </w:r>
            <w:r w:rsidR="00585B37" w:rsidRPr="00596162">
              <w:rPr>
                <w:rFonts w:ascii="Times New Roman" w:hAnsi="Times New Roman" w:cs="Times New Roman"/>
                <w:i/>
                <w:lang w:val="sr-Cyrl-BA"/>
              </w:rPr>
              <w:t>х</w:t>
            </w:r>
            <w:r w:rsidRPr="00596162">
              <w:rPr>
                <w:rFonts w:ascii="Times New Roman" w:hAnsi="Times New Roman" w:cs="Times New Roman"/>
                <w:i/>
              </w:rPr>
              <w:t>ваћени у осталим дијеловима овог извјештаја.]</w:t>
            </w:r>
          </w:p>
        </w:tc>
      </w:tr>
    </w:tbl>
    <w:p w:rsidR="00F94339" w:rsidRPr="00A757EB" w:rsidRDefault="00F94339" w:rsidP="00A757EB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sectPr w:rsidR="00F94339" w:rsidRPr="00A757EB" w:rsidSect="00A757EB">
      <w:headerReference w:type="default" r:id="rId10"/>
      <w:footerReference w:type="default" r:id="rId11"/>
      <w:pgSz w:w="11907" w:h="16840" w:code="9"/>
      <w:pgMar w:top="1418" w:right="1134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ED" w:rsidRDefault="003045ED" w:rsidP="00564B00">
      <w:pPr>
        <w:spacing w:after="0" w:line="240" w:lineRule="auto"/>
      </w:pPr>
      <w:r>
        <w:separator/>
      </w:r>
    </w:p>
  </w:endnote>
  <w:endnote w:type="continuationSeparator" w:id="0">
    <w:p w:rsidR="003045ED" w:rsidRDefault="003045ED" w:rsidP="0056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8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2A1" w:rsidRDefault="00C40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3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402A1" w:rsidRPr="00385341" w:rsidRDefault="00C402A1">
        <w:pPr>
          <w:pStyle w:val="Footer"/>
          <w:jc w:val="right"/>
          <w:rPr>
            <w:rFonts w:ascii="Times New Roman" w:hAnsi="Times New Roman" w:cs="Times New Roman"/>
          </w:rPr>
        </w:pPr>
        <w:r w:rsidRPr="00385341">
          <w:rPr>
            <w:rFonts w:ascii="Times New Roman" w:hAnsi="Times New Roman" w:cs="Times New Roman"/>
          </w:rPr>
          <w:fldChar w:fldCharType="begin"/>
        </w:r>
        <w:r w:rsidRPr="00385341">
          <w:rPr>
            <w:rFonts w:ascii="Times New Roman" w:hAnsi="Times New Roman" w:cs="Times New Roman"/>
          </w:rPr>
          <w:instrText xml:space="preserve"> PAGE   \* MERGEFORMAT </w:instrText>
        </w:r>
        <w:r w:rsidRPr="00385341">
          <w:rPr>
            <w:rFonts w:ascii="Times New Roman" w:hAnsi="Times New Roman" w:cs="Times New Roman"/>
          </w:rPr>
          <w:fldChar w:fldCharType="separate"/>
        </w:r>
        <w:r w:rsidR="006435BD">
          <w:rPr>
            <w:rFonts w:ascii="Times New Roman" w:hAnsi="Times New Roman" w:cs="Times New Roman"/>
            <w:noProof/>
          </w:rPr>
          <w:t>7</w:t>
        </w:r>
        <w:r w:rsidRPr="0038534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ED" w:rsidRDefault="003045ED" w:rsidP="00564B00">
      <w:pPr>
        <w:spacing w:after="0" w:line="240" w:lineRule="auto"/>
      </w:pPr>
      <w:r>
        <w:separator/>
      </w:r>
    </w:p>
  </w:footnote>
  <w:footnote w:type="continuationSeparator" w:id="0">
    <w:p w:rsidR="003045ED" w:rsidRDefault="003045ED" w:rsidP="00564B00">
      <w:pPr>
        <w:spacing w:after="0" w:line="240" w:lineRule="auto"/>
      </w:pPr>
      <w:r>
        <w:continuationSeparator/>
      </w:r>
    </w:p>
  </w:footnote>
  <w:footnote w:id="1">
    <w:p w:rsidR="00C402A1" w:rsidRPr="00D2294D" w:rsidRDefault="00C402A1" w:rsidP="00411A4F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11DFF">
        <w:rPr>
          <w:rFonts w:ascii="Times New Roman" w:hAnsi="Times New Roman" w:cs="Times New Roman"/>
          <w:spacing w:val="-4"/>
          <w:sz w:val="18"/>
          <w:szCs w:val="18"/>
          <w:lang w:val="sr-Cyrl-BA"/>
        </w:rPr>
        <w:t xml:space="preserve">Банка обезбјеђује усклађеност и конзистентност између </w:t>
      </w:r>
      <w:r w:rsidRPr="00111DFF">
        <w:rPr>
          <w:rFonts w:ascii="Times New Roman" w:hAnsi="Times New Roman" w:cs="Times New Roman"/>
          <w:i/>
          <w:spacing w:val="-4"/>
          <w:sz w:val="18"/>
          <w:szCs w:val="18"/>
        </w:rPr>
        <w:t>ILAAP</w:t>
      </w:r>
      <w:r w:rsidRPr="00111DFF">
        <w:rPr>
          <w:rFonts w:ascii="Times New Roman" w:hAnsi="Times New Roman" w:cs="Times New Roman"/>
          <w:spacing w:val="-4"/>
          <w:sz w:val="18"/>
          <w:szCs w:val="18"/>
        </w:rPr>
        <w:t>-а</w:t>
      </w:r>
      <w:r w:rsidRPr="00111DFF">
        <w:rPr>
          <w:rFonts w:ascii="Times New Roman" w:hAnsi="Times New Roman" w:cs="Times New Roman"/>
          <w:spacing w:val="-4"/>
          <w:sz w:val="18"/>
          <w:szCs w:val="18"/>
          <w:lang w:val="sr-Cyrl-BA"/>
        </w:rPr>
        <w:t xml:space="preserve"> и планова опоравка у погледу показатеља раног упозорења</w:t>
      </w:r>
      <w:r w:rsidRPr="00111DFF">
        <w:rPr>
          <w:rFonts w:ascii="Times New Roman" w:hAnsi="Times New Roman" w:cs="Times New Roman"/>
          <w:spacing w:val="-4"/>
          <w:sz w:val="18"/>
          <w:szCs w:val="18"/>
        </w:rPr>
        <w:t xml:space="preserve">, </w:t>
      </w:r>
      <w:r w:rsidRPr="00111DFF">
        <w:rPr>
          <w:rFonts w:ascii="Times New Roman" w:hAnsi="Times New Roman" w:cs="Times New Roman"/>
          <w:spacing w:val="-4"/>
          <w:sz w:val="18"/>
          <w:szCs w:val="18"/>
          <w:lang w:val="sr-Cyrl-BA"/>
        </w:rPr>
        <w:t>показатеља ликвидности и процеса информисања и доношења одлука у случају достизања нивоа дефинисаних показатеља.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A1" w:rsidRPr="001550A9" w:rsidRDefault="00C402A1" w:rsidP="00646A20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A1" w:rsidRPr="001550A9" w:rsidRDefault="00C402A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F59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25651"/>
    <w:multiLevelType w:val="hybridMultilevel"/>
    <w:tmpl w:val="834EDAF2"/>
    <w:lvl w:ilvl="0" w:tplc="3F424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45D1"/>
    <w:multiLevelType w:val="hybridMultilevel"/>
    <w:tmpl w:val="1CB2225C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554B7"/>
    <w:multiLevelType w:val="hybridMultilevel"/>
    <w:tmpl w:val="71E87238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76A6F45"/>
    <w:multiLevelType w:val="hybridMultilevel"/>
    <w:tmpl w:val="70D2AE04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96CBA"/>
    <w:multiLevelType w:val="hybridMultilevel"/>
    <w:tmpl w:val="CACEBC96"/>
    <w:lvl w:ilvl="0" w:tplc="0504A8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1BF"/>
    <w:multiLevelType w:val="multilevel"/>
    <w:tmpl w:val="034AA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4E35CA"/>
    <w:multiLevelType w:val="hybridMultilevel"/>
    <w:tmpl w:val="E31C383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A251B3"/>
    <w:multiLevelType w:val="hybridMultilevel"/>
    <w:tmpl w:val="00702B42"/>
    <w:lvl w:ilvl="0" w:tplc="DD76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11038"/>
    <w:multiLevelType w:val="multilevel"/>
    <w:tmpl w:val="D2D03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3D756513"/>
    <w:multiLevelType w:val="hybridMultilevel"/>
    <w:tmpl w:val="2D441056"/>
    <w:lvl w:ilvl="0" w:tplc="39525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B6AB5"/>
    <w:multiLevelType w:val="hybridMultilevel"/>
    <w:tmpl w:val="4942D430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E749D5"/>
    <w:multiLevelType w:val="hybridMultilevel"/>
    <w:tmpl w:val="1CB2225C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647F8"/>
    <w:multiLevelType w:val="hybridMultilevel"/>
    <w:tmpl w:val="8572056A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93B29"/>
    <w:multiLevelType w:val="hybridMultilevel"/>
    <w:tmpl w:val="4942D430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E719B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517784"/>
    <w:multiLevelType w:val="hybridMultilevel"/>
    <w:tmpl w:val="3B4EA6A2"/>
    <w:lvl w:ilvl="0" w:tplc="2D5EE3AA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16A01"/>
    <w:multiLevelType w:val="hybridMultilevel"/>
    <w:tmpl w:val="4942D430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E4B19"/>
    <w:multiLevelType w:val="hybridMultilevel"/>
    <w:tmpl w:val="B53430F0"/>
    <w:lvl w:ilvl="0" w:tplc="D31A3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42F79"/>
    <w:multiLevelType w:val="hybridMultilevel"/>
    <w:tmpl w:val="4942D430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82666F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502C2D"/>
    <w:multiLevelType w:val="hybridMultilevel"/>
    <w:tmpl w:val="09CC36D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623226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AA207F"/>
    <w:multiLevelType w:val="hybridMultilevel"/>
    <w:tmpl w:val="8572056A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0ED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F5568"/>
    <w:multiLevelType w:val="hybridMultilevel"/>
    <w:tmpl w:val="1CB2225C"/>
    <w:lvl w:ilvl="0" w:tplc="90989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64A71"/>
    <w:multiLevelType w:val="hybridMultilevel"/>
    <w:tmpl w:val="2E1A09B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4A6D32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D540A3"/>
    <w:multiLevelType w:val="hybridMultilevel"/>
    <w:tmpl w:val="F28A44A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245C3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9B476D"/>
    <w:multiLevelType w:val="hybridMultilevel"/>
    <w:tmpl w:val="6EF2B6AA"/>
    <w:lvl w:ilvl="0" w:tplc="1A16484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250752"/>
    <w:multiLevelType w:val="hybridMultilevel"/>
    <w:tmpl w:val="0B26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8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29"/>
  </w:num>
  <w:num w:numId="12">
    <w:abstractNumId w:val="4"/>
  </w:num>
  <w:num w:numId="13">
    <w:abstractNumId w:val="22"/>
  </w:num>
  <w:num w:numId="14">
    <w:abstractNumId w:val="20"/>
  </w:num>
  <w:num w:numId="15">
    <w:abstractNumId w:val="0"/>
  </w:num>
  <w:num w:numId="16">
    <w:abstractNumId w:val="23"/>
  </w:num>
  <w:num w:numId="17">
    <w:abstractNumId w:val="26"/>
  </w:num>
  <w:num w:numId="18">
    <w:abstractNumId w:val="13"/>
  </w:num>
  <w:num w:numId="19">
    <w:abstractNumId w:val="28"/>
  </w:num>
  <w:num w:numId="20">
    <w:abstractNumId w:val="14"/>
  </w:num>
  <w:num w:numId="21">
    <w:abstractNumId w:val="15"/>
  </w:num>
  <w:num w:numId="22">
    <w:abstractNumId w:val="19"/>
  </w:num>
  <w:num w:numId="23">
    <w:abstractNumId w:val="11"/>
  </w:num>
  <w:num w:numId="24">
    <w:abstractNumId w:val="21"/>
  </w:num>
  <w:num w:numId="25">
    <w:abstractNumId w:val="27"/>
  </w:num>
  <w:num w:numId="26">
    <w:abstractNumId w:val="17"/>
  </w:num>
  <w:num w:numId="27">
    <w:abstractNumId w:val="25"/>
  </w:num>
  <w:num w:numId="28">
    <w:abstractNumId w:val="3"/>
  </w:num>
  <w:num w:numId="29">
    <w:abstractNumId w:val="5"/>
  </w:num>
  <w:num w:numId="30">
    <w:abstractNumId w:val="30"/>
  </w:num>
  <w:num w:numId="3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36"/>
    <w:rsid w:val="00001182"/>
    <w:rsid w:val="00004526"/>
    <w:rsid w:val="00011B2F"/>
    <w:rsid w:val="00027B9E"/>
    <w:rsid w:val="000311EA"/>
    <w:rsid w:val="00036A8B"/>
    <w:rsid w:val="000431BA"/>
    <w:rsid w:val="00056924"/>
    <w:rsid w:val="000A7679"/>
    <w:rsid w:val="000B7275"/>
    <w:rsid w:val="000E171B"/>
    <w:rsid w:val="000E2472"/>
    <w:rsid w:val="000F1BDE"/>
    <w:rsid w:val="000F4936"/>
    <w:rsid w:val="00103EA6"/>
    <w:rsid w:val="001115C9"/>
    <w:rsid w:val="00111DFF"/>
    <w:rsid w:val="001173D3"/>
    <w:rsid w:val="00153679"/>
    <w:rsid w:val="001550A9"/>
    <w:rsid w:val="001A0B52"/>
    <w:rsid w:val="001A3424"/>
    <w:rsid w:val="001A6CFC"/>
    <w:rsid w:val="001A73E6"/>
    <w:rsid w:val="001B03FE"/>
    <w:rsid w:val="001C0B77"/>
    <w:rsid w:val="001D569B"/>
    <w:rsid w:val="001E0C34"/>
    <w:rsid w:val="001F1F17"/>
    <w:rsid w:val="002111B2"/>
    <w:rsid w:val="00211C36"/>
    <w:rsid w:val="00211FB7"/>
    <w:rsid w:val="00215FD7"/>
    <w:rsid w:val="00225EE0"/>
    <w:rsid w:val="002447BF"/>
    <w:rsid w:val="00244BD3"/>
    <w:rsid w:val="00270135"/>
    <w:rsid w:val="00273AF3"/>
    <w:rsid w:val="002753F6"/>
    <w:rsid w:val="00286CA4"/>
    <w:rsid w:val="002A1017"/>
    <w:rsid w:val="002B6688"/>
    <w:rsid w:val="002D5B36"/>
    <w:rsid w:val="002D616E"/>
    <w:rsid w:val="002E1487"/>
    <w:rsid w:val="002E4B96"/>
    <w:rsid w:val="002F1AA3"/>
    <w:rsid w:val="003032FA"/>
    <w:rsid w:val="003045ED"/>
    <w:rsid w:val="003067BC"/>
    <w:rsid w:val="0032281C"/>
    <w:rsid w:val="00325316"/>
    <w:rsid w:val="00336656"/>
    <w:rsid w:val="00341C2E"/>
    <w:rsid w:val="00342CAC"/>
    <w:rsid w:val="00352C50"/>
    <w:rsid w:val="003559B2"/>
    <w:rsid w:val="00360DBB"/>
    <w:rsid w:val="00385341"/>
    <w:rsid w:val="0039607C"/>
    <w:rsid w:val="003A05FA"/>
    <w:rsid w:val="003B059A"/>
    <w:rsid w:val="003B2599"/>
    <w:rsid w:val="003C4D4B"/>
    <w:rsid w:val="003C5ABE"/>
    <w:rsid w:val="003E3951"/>
    <w:rsid w:val="00402555"/>
    <w:rsid w:val="00405EFB"/>
    <w:rsid w:val="00411A4F"/>
    <w:rsid w:val="00434EFA"/>
    <w:rsid w:val="00446EF8"/>
    <w:rsid w:val="00452F7A"/>
    <w:rsid w:val="00454476"/>
    <w:rsid w:val="00460C81"/>
    <w:rsid w:val="00461DDE"/>
    <w:rsid w:val="00463C17"/>
    <w:rsid w:val="00465AFB"/>
    <w:rsid w:val="00475988"/>
    <w:rsid w:val="00480591"/>
    <w:rsid w:val="00480743"/>
    <w:rsid w:val="004B31AF"/>
    <w:rsid w:val="004C26C2"/>
    <w:rsid w:val="004F66A1"/>
    <w:rsid w:val="00504EF6"/>
    <w:rsid w:val="00520B63"/>
    <w:rsid w:val="00525F88"/>
    <w:rsid w:val="00527122"/>
    <w:rsid w:val="00527F0C"/>
    <w:rsid w:val="00531B70"/>
    <w:rsid w:val="00542153"/>
    <w:rsid w:val="005568C8"/>
    <w:rsid w:val="00564B00"/>
    <w:rsid w:val="005666CE"/>
    <w:rsid w:val="00585B37"/>
    <w:rsid w:val="00587D86"/>
    <w:rsid w:val="00596162"/>
    <w:rsid w:val="005977C2"/>
    <w:rsid w:val="005B4412"/>
    <w:rsid w:val="005E3D64"/>
    <w:rsid w:val="005E5145"/>
    <w:rsid w:val="005F4950"/>
    <w:rsid w:val="00604335"/>
    <w:rsid w:val="00621417"/>
    <w:rsid w:val="00627D76"/>
    <w:rsid w:val="006435BD"/>
    <w:rsid w:val="00646A20"/>
    <w:rsid w:val="00656F9F"/>
    <w:rsid w:val="00657889"/>
    <w:rsid w:val="00666F2D"/>
    <w:rsid w:val="00667227"/>
    <w:rsid w:val="006757E7"/>
    <w:rsid w:val="00675BA8"/>
    <w:rsid w:val="00692456"/>
    <w:rsid w:val="006A122D"/>
    <w:rsid w:val="006A1318"/>
    <w:rsid w:val="006A3C10"/>
    <w:rsid w:val="006A41BF"/>
    <w:rsid w:val="006A7D1C"/>
    <w:rsid w:val="006B45FA"/>
    <w:rsid w:val="006B6E77"/>
    <w:rsid w:val="006C321B"/>
    <w:rsid w:val="00741CE3"/>
    <w:rsid w:val="007740C7"/>
    <w:rsid w:val="0077742D"/>
    <w:rsid w:val="0079392F"/>
    <w:rsid w:val="007A1B9D"/>
    <w:rsid w:val="007A2FEC"/>
    <w:rsid w:val="007A5DB9"/>
    <w:rsid w:val="007C11D6"/>
    <w:rsid w:val="007C37F4"/>
    <w:rsid w:val="007D7173"/>
    <w:rsid w:val="00800AD1"/>
    <w:rsid w:val="00801D27"/>
    <w:rsid w:val="0081011F"/>
    <w:rsid w:val="00820232"/>
    <w:rsid w:val="008246A7"/>
    <w:rsid w:val="008265C1"/>
    <w:rsid w:val="00834719"/>
    <w:rsid w:val="00845C9F"/>
    <w:rsid w:val="00850A41"/>
    <w:rsid w:val="00852A3A"/>
    <w:rsid w:val="00864352"/>
    <w:rsid w:val="00874F2D"/>
    <w:rsid w:val="00876ED2"/>
    <w:rsid w:val="008910E8"/>
    <w:rsid w:val="00891672"/>
    <w:rsid w:val="008A14FE"/>
    <w:rsid w:val="008B62CF"/>
    <w:rsid w:val="008F12CE"/>
    <w:rsid w:val="008F14E6"/>
    <w:rsid w:val="00902911"/>
    <w:rsid w:val="00905D8E"/>
    <w:rsid w:val="0093765B"/>
    <w:rsid w:val="009428CF"/>
    <w:rsid w:val="009536F3"/>
    <w:rsid w:val="00971450"/>
    <w:rsid w:val="009960E2"/>
    <w:rsid w:val="009A28C2"/>
    <w:rsid w:val="009C0867"/>
    <w:rsid w:val="009D01B6"/>
    <w:rsid w:val="009D3B3E"/>
    <w:rsid w:val="009F4BD3"/>
    <w:rsid w:val="00A03288"/>
    <w:rsid w:val="00A22C20"/>
    <w:rsid w:val="00A479FE"/>
    <w:rsid w:val="00A71B08"/>
    <w:rsid w:val="00A757EB"/>
    <w:rsid w:val="00A845B8"/>
    <w:rsid w:val="00A86343"/>
    <w:rsid w:val="00AA4048"/>
    <w:rsid w:val="00AA7A64"/>
    <w:rsid w:val="00AD5969"/>
    <w:rsid w:val="00AE00EF"/>
    <w:rsid w:val="00AE2A12"/>
    <w:rsid w:val="00AE345A"/>
    <w:rsid w:val="00AE6DF5"/>
    <w:rsid w:val="00AF0166"/>
    <w:rsid w:val="00AF152C"/>
    <w:rsid w:val="00AF6C9F"/>
    <w:rsid w:val="00B17B0B"/>
    <w:rsid w:val="00B23683"/>
    <w:rsid w:val="00B26BA4"/>
    <w:rsid w:val="00B34C83"/>
    <w:rsid w:val="00B4031A"/>
    <w:rsid w:val="00B4089F"/>
    <w:rsid w:val="00B40A21"/>
    <w:rsid w:val="00B463D6"/>
    <w:rsid w:val="00B54888"/>
    <w:rsid w:val="00B55912"/>
    <w:rsid w:val="00B640F9"/>
    <w:rsid w:val="00B712FF"/>
    <w:rsid w:val="00B801E6"/>
    <w:rsid w:val="00B8275A"/>
    <w:rsid w:val="00BA45F9"/>
    <w:rsid w:val="00BA6698"/>
    <w:rsid w:val="00BB5930"/>
    <w:rsid w:val="00BB7C78"/>
    <w:rsid w:val="00BC26A6"/>
    <w:rsid w:val="00BD219F"/>
    <w:rsid w:val="00BD3FFE"/>
    <w:rsid w:val="00BE0970"/>
    <w:rsid w:val="00BF0EA8"/>
    <w:rsid w:val="00C00181"/>
    <w:rsid w:val="00C012E5"/>
    <w:rsid w:val="00C24CC0"/>
    <w:rsid w:val="00C402A1"/>
    <w:rsid w:val="00C4143A"/>
    <w:rsid w:val="00C55929"/>
    <w:rsid w:val="00C568FA"/>
    <w:rsid w:val="00C604C7"/>
    <w:rsid w:val="00C7546F"/>
    <w:rsid w:val="00C80B00"/>
    <w:rsid w:val="00CA39CD"/>
    <w:rsid w:val="00CB36C8"/>
    <w:rsid w:val="00CD1698"/>
    <w:rsid w:val="00CE2D70"/>
    <w:rsid w:val="00CF664C"/>
    <w:rsid w:val="00D11B1B"/>
    <w:rsid w:val="00D2294D"/>
    <w:rsid w:val="00D33181"/>
    <w:rsid w:val="00D50C2C"/>
    <w:rsid w:val="00D91B0F"/>
    <w:rsid w:val="00D9670A"/>
    <w:rsid w:val="00DA26EF"/>
    <w:rsid w:val="00DA47FA"/>
    <w:rsid w:val="00DA4850"/>
    <w:rsid w:val="00DD3E6F"/>
    <w:rsid w:val="00DE524E"/>
    <w:rsid w:val="00E1572F"/>
    <w:rsid w:val="00E37D1F"/>
    <w:rsid w:val="00E40613"/>
    <w:rsid w:val="00E43636"/>
    <w:rsid w:val="00E53EB7"/>
    <w:rsid w:val="00E67E4C"/>
    <w:rsid w:val="00E76D68"/>
    <w:rsid w:val="00E805BB"/>
    <w:rsid w:val="00E838E9"/>
    <w:rsid w:val="00E87407"/>
    <w:rsid w:val="00E9745E"/>
    <w:rsid w:val="00EA5882"/>
    <w:rsid w:val="00EA7F82"/>
    <w:rsid w:val="00EB530F"/>
    <w:rsid w:val="00EC2D58"/>
    <w:rsid w:val="00ED5238"/>
    <w:rsid w:val="00F025C6"/>
    <w:rsid w:val="00F22478"/>
    <w:rsid w:val="00F31787"/>
    <w:rsid w:val="00F354F7"/>
    <w:rsid w:val="00F3606D"/>
    <w:rsid w:val="00F43F9F"/>
    <w:rsid w:val="00F45E5F"/>
    <w:rsid w:val="00F45E6A"/>
    <w:rsid w:val="00F619D3"/>
    <w:rsid w:val="00F61B1F"/>
    <w:rsid w:val="00F75CB1"/>
    <w:rsid w:val="00F777C4"/>
    <w:rsid w:val="00F801DF"/>
    <w:rsid w:val="00F94339"/>
    <w:rsid w:val="00FB2D67"/>
    <w:rsid w:val="00FB3B35"/>
    <w:rsid w:val="00FC0F25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4B73A-867A-4D1E-9691-19CA3BB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436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636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43636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436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3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E43636"/>
    <w:rPr>
      <w:rFonts w:ascii="Sylfaen" w:eastAsia="Sylfaen" w:hAnsi="Sylfaen" w:cs="Sylfaen"/>
      <w:b/>
      <w:bCs/>
      <w:spacing w:val="6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43636"/>
    <w:rPr>
      <w:rFonts w:ascii="Sylfaen" w:eastAsia="Sylfaen" w:hAnsi="Sylfaen" w:cs="Sylfaen"/>
      <w:b/>
      <w:bCs/>
      <w:spacing w:val="6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3636"/>
    <w:pPr>
      <w:widowControl w:val="0"/>
      <w:shd w:val="clear" w:color="auto" w:fill="FFFFFF"/>
      <w:spacing w:before="840" w:after="0" w:line="288" w:lineRule="exact"/>
      <w:jc w:val="center"/>
    </w:pPr>
    <w:rPr>
      <w:rFonts w:ascii="Sylfaen" w:eastAsia="Sylfaen" w:hAnsi="Sylfaen" w:cs="Sylfaen"/>
      <w:b/>
      <w:bCs/>
      <w:spacing w:val="6"/>
      <w:sz w:val="20"/>
      <w:szCs w:val="20"/>
    </w:rPr>
  </w:style>
  <w:style w:type="paragraph" w:customStyle="1" w:styleId="Heading10">
    <w:name w:val="Heading #1"/>
    <w:basedOn w:val="Normal"/>
    <w:link w:val="Heading1"/>
    <w:rsid w:val="00E43636"/>
    <w:pPr>
      <w:widowControl w:val="0"/>
      <w:shd w:val="clear" w:color="auto" w:fill="FFFFFF"/>
      <w:spacing w:before="240" w:after="240" w:line="288" w:lineRule="exact"/>
      <w:ind w:hanging="4040"/>
      <w:jc w:val="center"/>
      <w:outlineLvl w:val="0"/>
    </w:pPr>
    <w:rPr>
      <w:rFonts w:ascii="Sylfaen" w:eastAsia="Sylfaen" w:hAnsi="Sylfaen" w:cs="Sylfaen"/>
      <w:b/>
      <w:bCs/>
      <w:spacing w:val="6"/>
      <w:sz w:val="20"/>
      <w:szCs w:val="20"/>
    </w:rPr>
  </w:style>
  <w:style w:type="paragraph" w:styleId="Revision">
    <w:name w:val="Revision"/>
    <w:hidden/>
    <w:uiPriority w:val="99"/>
    <w:semiHidden/>
    <w:rsid w:val="00741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00"/>
  </w:style>
  <w:style w:type="paragraph" w:styleId="Footer">
    <w:name w:val="footer"/>
    <w:basedOn w:val="Normal"/>
    <w:link w:val="FooterChar"/>
    <w:uiPriority w:val="99"/>
    <w:unhideWhenUsed/>
    <w:rsid w:val="00564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00"/>
  </w:style>
  <w:style w:type="paragraph" w:styleId="FootnoteText">
    <w:name w:val="footnote text"/>
    <w:basedOn w:val="Normal"/>
    <w:link w:val="FootnoteTextChar"/>
    <w:uiPriority w:val="99"/>
    <w:semiHidden/>
    <w:unhideWhenUsed/>
    <w:rsid w:val="00C00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181"/>
    <w:rPr>
      <w:vertAlign w:val="superscript"/>
    </w:rPr>
  </w:style>
  <w:style w:type="paragraph" w:styleId="NoSpacing">
    <w:name w:val="No Spacing"/>
    <w:uiPriority w:val="1"/>
    <w:qFormat/>
    <w:rsid w:val="00F9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D5E5-2A28-48D3-81C2-A8356C16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15157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ABRS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Nježić</dc:creator>
  <cp:lastModifiedBy>Slobodan Tabaković</cp:lastModifiedBy>
  <cp:revision>2</cp:revision>
  <cp:lastPrinted>2019-05-28T07:56:00Z</cp:lastPrinted>
  <dcterms:created xsi:type="dcterms:W3CDTF">2023-10-27T07:35:00Z</dcterms:created>
  <dcterms:modified xsi:type="dcterms:W3CDTF">2023-10-27T07:35:00Z</dcterms:modified>
</cp:coreProperties>
</file>